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06" w:rsidRPr="00C51A06" w:rsidRDefault="00C51A06" w:rsidP="00C51A06">
      <w:pPr>
        <w:keepNext/>
        <w:numPr>
          <w:ilvl w:val="3"/>
          <w:numId w:val="1"/>
        </w:numPr>
        <w:spacing w:before="240" w:after="60" w:line="240" w:lineRule="auto"/>
        <w:jc w:val="right"/>
        <w:outlineLvl w:val="1"/>
        <w:rPr>
          <w:rFonts w:ascii="Times New Roman" w:eastAsia="Times New Roman" w:hAnsi="Times New Roman" w:cs="Times New Roman"/>
          <w:bCs/>
          <w:iCs/>
          <w:caps/>
          <w:sz w:val="24"/>
          <w:szCs w:val="28"/>
          <w:lang w:eastAsia="hu-HU"/>
        </w:rPr>
      </w:pPr>
      <w:bookmarkStart w:id="0" w:name="_Toc451942245"/>
      <w:r w:rsidRPr="00C51A06">
        <w:rPr>
          <w:rFonts w:ascii="Times New Roman" w:eastAsia="Times New Roman" w:hAnsi="Times New Roman" w:cs="Times New Roman"/>
          <w:bCs/>
          <w:iCs/>
          <w:sz w:val="24"/>
          <w:szCs w:val="28"/>
          <w:lang w:eastAsia="hu-HU"/>
        </w:rPr>
        <w:t xml:space="preserve">sz. melléklet a BI/698-18/2016 nyt. számú </w:t>
      </w:r>
      <w:proofErr w:type="spellStart"/>
      <w:r w:rsidRPr="00C51A06">
        <w:rPr>
          <w:rFonts w:ascii="Times New Roman" w:eastAsia="Times New Roman" w:hAnsi="Times New Roman" w:cs="Times New Roman"/>
          <w:bCs/>
          <w:iCs/>
          <w:sz w:val="24"/>
          <w:szCs w:val="28"/>
          <w:lang w:eastAsia="hu-HU"/>
        </w:rPr>
        <w:t>KKD-hez</w:t>
      </w:r>
      <w:bookmarkEnd w:id="0"/>
      <w:proofErr w:type="spellEnd"/>
    </w:p>
    <w:p w:rsidR="00C51A06" w:rsidRPr="00C51A06" w:rsidRDefault="00C51A06" w:rsidP="00C51A06">
      <w:pPr>
        <w:keepNext/>
        <w:spacing w:after="0" w:line="240" w:lineRule="auto"/>
        <w:jc w:val="center"/>
        <w:outlineLvl w:val="1"/>
        <w:rPr>
          <w:rFonts w:ascii="Times New Roman" w:eastAsia="Times New Roman" w:hAnsi="Times New Roman" w:cs="Times New Roman"/>
          <w:b/>
          <w:bCs/>
          <w:caps/>
          <w:sz w:val="24"/>
          <w:szCs w:val="24"/>
          <w:lang w:eastAsia="hu-HU"/>
        </w:rPr>
      </w:pPr>
    </w:p>
    <w:p w:rsidR="00C51A06" w:rsidRPr="00C51A06" w:rsidRDefault="00C51A06" w:rsidP="00C51A06">
      <w:pPr>
        <w:keepNext/>
        <w:spacing w:after="0" w:line="240" w:lineRule="auto"/>
        <w:jc w:val="center"/>
        <w:outlineLvl w:val="1"/>
        <w:rPr>
          <w:rFonts w:ascii="Times New Roman" w:eastAsia="Times New Roman" w:hAnsi="Times New Roman" w:cs="Times New Roman"/>
          <w:b/>
          <w:bCs/>
          <w:caps/>
          <w:sz w:val="24"/>
          <w:szCs w:val="24"/>
          <w:lang w:eastAsia="hu-HU"/>
        </w:rPr>
      </w:pPr>
    </w:p>
    <w:p w:rsidR="00C51A06" w:rsidRPr="00C51A06" w:rsidRDefault="00C51A06" w:rsidP="00C51A06">
      <w:pPr>
        <w:spacing w:after="0" w:line="240" w:lineRule="auto"/>
        <w:jc w:val="center"/>
        <w:rPr>
          <w:rFonts w:ascii="Times New Roman" w:eastAsia="Times New Roman" w:hAnsi="Times New Roman" w:cs="Times New Roman"/>
          <w:b/>
          <w:sz w:val="24"/>
          <w:szCs w:val="24"/>
          <w:lang w:eastAsia="hu-HU"/>
        </w:rPr>
      </w:pPr>
      <w:bookmarkStart w:id="1" w:name="_Toc445113605"/>
      <w:r w:rsidRPr="00C51A06">
        <w:rPr>
          <w:rFonts w:ascii="Times New Roman" w:eastAsia="Times New Roman" w:hAnsi="Times New Roman" w:cs="Times New Roman"/>
          <w:b/>
          <w:sz w:val="24"/>
          <w:szCs w:val="24"/>
          <w:lang w:eastAsia="hu-HU"/>
        </w:rPr>
        <w:t>FELOLVASÓLAP (MINTA)</w:t>
      </w:r>
      <w:bookmarkEnd w:id="1"/>
    </w:p>
    <w:p w:rsidR="00C51A06" w:rsidRPr="00C51A06" w:rsidRDefault="00C51A06" w:rsidP="00C51A06">
      <w:pPr>
        <w:spacing w:after="0" w:line="240" w:lineRule="auto"/>
        <w:rPr>
          <w:rFonts w:ascii="Times New Roman" w:eastAsia="Times New Roman" w:hAnsi="Times New Roman" w:cs="Times New Roman"/>
          <w:b/>
          <w:color w:val="000000"/>
          <w:sz w:val="24"/>
          <w:szCs w:val="24"/>
          <w:lang w:eastAsia="hu-HU"/>
        </w:rPr>
      </w:pPr>
    </w:p>
    <w:p w:rsidR="00C51A06" w:rsidRPr="00C51A06" w:rsidRDefault="00C51A06" w:rsidP="00C51A06">
      <w:pPr>
        <w:spacing w:after="0" w:line="240" w:lineRule="auto"/>
        <w:rPr>
          <w:rFonts w:ascii="Times New Roman" w:eastAsia="Times New Roman" w:hAnsi="Times New Roman" w:cs="Times New Roman"/>
          <w:color w:val="000000"/>
          <w:sz w:val="24"/>
          <w:szCs w:val="24"/>
          <w:lang w:eastAsia="hu-HU"/>
        </w:rPr>
      </w:pPr>
    </w:p>
    <w:p w:rsidR="00C51A06" w:rsidRPr="00C51A06" w:rsidRDefault="00C51A06" w:rsidP="00C51A06">
      <w:pPr>
        <w:spacing w:after="0" w:line="240" w:lineRule="auto"/>
        <w:jc w:val="both"/>
        <w:rPr>
          <w:rFonts w:ascii="Times New Roman" w:eastAsia="Times New Roman" w:hAnsi="Times New Roman" w:cs="Times New Roman"/>
          <w:b/>
          <w:bCs/>
          <w:sz w:val="24"/>
          <w:szCs w:val="24"/>
          <w:lang w:eastAsia="hu-HU"/>
        </w:rPr>
      </w:pPr>
      <w:r w:rsidRPr="00C51A06">
        <w:rPr>
          <w:rFonts w:ascii="Times New Roman" w:eastAsia="Times New Roman" w:hAnsi="Times New Roman" w:cs="Times New Roman"/>
          <w:b/>
          <w:bCs/>
          <w:sz w:val="24"/>
          <w:szCs w:val="24"/>
          <w:lang w:eastAsia="hu-HU"/>
        </w:rPr>
        <w:t xml:space="preserve">Ajánlat tárgya: </w:t>
      </w:r>
      <w:r w:rsidRPr="00C51A06">
        <w:rPr>
          <w:rFonts w:ascii="Times New Roman" w:eastAsia="Calibri" w:hAnsi="Times New Roman" w:cs="Times New Roman"/>
          <w:i/>
          <w:snapToGrid w:val="0"/>
          <w:sz w:val="24"/>
          <w:szCs w:val="24"/>
        </w:rPr>
        <w:t>Laboratóriumi eszközök beszerzése 2016-2017</w:t>
      </w:r>
    </w:p>
    <w:p w:rsidR="00C51A06" w:rsidRPr="00C51A06" w:rsidRDefault="00C51A06" w:rsidP="00C51A06">
      <w:pPr>
        <w:spacing w:after="0" w:line="240" w:lineRule="auto"/>
        <w:jc w:val="center"/>
        <w:rPr>
          <w:rFonts w:ascii="Times New Roman" w:eastAsia="Times New Roman" w:hAnsi="Times New Roman" w:cs="Times New Roman"/>
          <w:b/>
          <w:bCs/>
          <w:sz w:val="24"/>
          <w:szCs w:val="24"/>
          <w:lang w:eastAsia="hu-HU"/>
        </w:rPr>
      </w:pPr>
    </w:p>
    <w:p w:rsidR="00C51A06" w:rsidRPr="00C51A06" w:rsidRDefault="00C51A06" w:rsidP="00C51A06">
      <w:pPr>
        <w:tabs>
          <w:tab w:val="left" w:pos="3402"/>
          <w:tab w:val="left" w:leader="dot" w:pos="9072"/>
        </w:tabs>
        <w:spacing w:after="0" w:line="240" w:lineRule="auto"/>
        <w:jc w:val="both"/>
        <w:rPr>
          <w:rFonts w:ascii="Times New Roman" w:eastAsia="Times New Roman" w:hAnsi="Times New Roman" w:cs="Times New Roman"/>
          <w:sz w:val="24"/>
          <w:szCs w:val="24"/>
          <w:lang w:eastAsia="hu-HU"/>
        </w:rPr>
      </w:pPr>
      <w:r w:rsidRPr="00C51A06">
        <w:rPr>
          <w:rFonts w:ascii="Times New Roman" w:eastAsia="Times New Roman" w:hAnsi="Times New Roman" w:cs="Times New Roman"/>
          <w:sz w:val="24"/>
          <w:szCs w:val="24"/>
          <w:lang w:eastAsia="hu-HU"/>
        </w:rPr>
        <w:t>Ajánlattevő neve:</w:t>
      </w:r>
      <w:r w:rsidRPr="00C51A06">
        <w:rPr>
          <w:rFonts w:ascii="Times New Roman" w:eastAsia="Times New Roman" w:hAnsi="Times New Roman" w:cs="Times New Roman"/>
          <w:b/>
          <w:bCs/>
          <w:i/>
          <w:iCs/>
          <w:sz w:val="24"/>
          <w:szCs w:val="24"/>
          <w:vertAlign w:val="superscript"/>
          <w:lang w:eastAsia="hu-HU"/>
        </w:rPr>
        <w:footnoteReference w:customMarkFollows="1" w:id="1"/>
        <w:sym w:font="Symbol" w:char="F02A"/>
      </w:r>
      <w:r w:rsidRPr="00C51A06">
        <w:rPr>
          <w:rFonts w:ascii="Times New Roman" w:eastAsia="Times New Roman" w:hAnsi="Times New Roman" w:cs="Times New Roman"/>
          <w:sz w:val="24"/>
          <w:szCs w:val="24"/>
          <w:lang w:eastAsia="hu-HU"/>
        </w:rPr>
        <w:tab/>
      </w:r>
      <w:r w:rsidRPr="00C51A06">
        <w:rPr>
          <w:rFonts w:ascii="Times New Roman" w:eastAsia="Times New Roman" w:hAnsi="Times New Roman" w:cs="Times New Roman"/>
          <w:sz w:val="24"/>
          <w:szCs w:val="24"/>
          <w:lang w:eastAsia="hu-HU"/>
        </w:rPr>
        <w:tab/>
      </w:r>
    </w:p>
    <w:p w:rsidR="00C51A06" w:rsidRPr="00C51A06" w:rsidRDefault="00C51A06" w:rsidP="00C51A06">
      <w:pPr>
        <w:spacing w:after="0" w:line="240" w:lineRule="auto"/>
        <w:jc w:val="both"/>
        <w:rPr>
          <w:rFonts w:ascii="Times New Roman" w:eastAsia="Times New Roman" w:hAnsi="Times New Roman" w:cs="Times New Roman"/>
          <w:sz w:val="24"/>
          <w:szCs w:val="24"/>
          <w:lang w:eastAsia="hu-HU"/>
        </w:rPr>
      </w:pPr>
    </w:p>
    <w:p w:rsidR="00C51A06" w:rsidRPr="00C51A06" w:rsidRDefault="00C51A06" w:rsidP="00C51A06">
      <w:pPr>
        <w:tabs>
          <w:tab w:val="left" w:pos="3402"/>
          <w:tab w:val="left" w:leader="dot" w:pos="9072"/>
        </w:tabs>
        <w:spacing w:after="0" w:line="240" w:lineRule="auto"/>
        <w:jc w:val="both"/>
        <w:rPr>
          <w:rFonts w:ascii="Times New Roman" w:eastAsia="Times New Roman" w:hAnsi="Times New Roman" w:cs="Times New Roman"/>
          <w:sz w:val="24"/>
          <w:szCs w:val="24"/>
          <w:lang w:eastAsia="hu-HU"/>
        </w:rPr>
      </w:pPr>
      <w:r w:rsidRPr="00C51A06">
        <w:rPr>
          <w:rFonts w:ascii="Times New Roman" w:eastAsia="Times New Roman" w:hAnsi="Times New Roman" w:cs="Times New Roman"/>
          <w:sz w:val="24"/>
          <w:szCs w:val="24"/>
          <w:lang w:eastAsia="hu-HU"/>
        </w:rPr>
        <w:t>Ajánlattevő székhelye:*</w:t>
      </w:r>
      <w:r w:rsidRPr="00C51A06">
        <w:rPr>
          <w:rFonts w:ascii="Times New Roman" w:eastAsia="Times New Roman" w:hAnsi="Times New Roman" w:cs="Times New Roman"/>
          <w:sz w:val="24"/>
          <w:szCs w:val="24"/>
          <w:lang w:eastAsia="hu-HU"/>
        </w:rPr>
        <w:tab/>
      </w:r>
      <w:r w:rsidRPr="00C51A06">
        <w:rPr>
          <w:rFonts w:ascii="Times New Roman" w:eastAsia="Times New Roman" w:hAnsi="Times New Roman" w:cs="Times New Roman"/>
          <w:sz w:val="24"/>
          <w:szCs w:val="24"/>
          <w:lang w:eastAsia="hu-HU"/>
        </w:rPr>
        <w:tab/>
      </w:r>
    </w:p>
    <w:p w:rsidR="00C51A06" w:rsidRPr="00C51A06" w:rsidRDefault="00C51A06" w:rsidP="00C51A06">
      <w:pPr>
        <w:tabs>
          <w:tab w:val="left" w:pos="3402"/>
          <w:tab w:val="left" w:leader="dot" w:pos="9072"/>
        </w:tabs>
        <w:spacing w:after="0" w:line="240" w:lineRule="auto"/>
        <w:jc w:val="both"/>
        <w:rPr>
          <w:rFonts w:ascii="Times New Roman" w:eastAsia="Times New Roman" w:hAnsi="Times New Roman" w:cs="Times New Roman"/>
          <w:sz w:val="24"/>
          <w:szCs w:val="24"/>
          <w:lang w:eastAsia="hu-HU"/>
        </w:rPr>
      </w:pPr>
    </w:p>
    <w:p w:rsidR="00C51A06" w:rsidRPr="00C51A06" w:rsidRDefault="00C51A06" w:rsidP="00C51A06">
      <w:pPr>
        <w:tabs>
          <w:tab w:val="left" w:pos="3402"/>
          <w:tab w:val="left" w:leader="dot" w:pos="9072"/>
        </w:tabs>
        <w:spacing w:after="0" w:line="240" w:lineRule="auto"/>
        <w:jc w:val="both"/>
        <w:rPr>
          <w:rFonts w:ascii="Times New Roman" w:eastAsia="Times New Roman" w:hAnsi="Times New Roman" w:cs="Times New Roman"/>
          <w:sz w:val="24"/>
          <w:szCs w:val="24"/>
          <w:lang w:eastAsia="hu-HU"/>
        </w:rPr>
      </w:pPr>
      <w:r w:rsidRPr="00C51A06">
        <w:rPr>
          <w:rFonts w:ascii="Times New Roman" w:eastAsia="Times New Roman" w:hAnsi="Times New Roman" w:cs="Times New Roman"/>
          <w:sz w:val="24"/>
          <w:szCs w:val="24"/>
          <w:lang w:eastAsia="hu-HU"/>
        </w:rPr>
        <w:t>Ajánlattevő telefonszáma:</w:t>
      </w:r>
      <w:r w:rsidRPr="00C51A06">
        <w:rPr>
          <w:rFonts w:ascii="Times New Roman" w:eastAsia="Times New Roman" w:hAnsi="Times New Roman" w:cs="Times New Roman"/>
          <w:sz w:val="24"/>
          <w:szCs w:val="24"/>
          <w:lang w:eastAsia="hu-HU"/>
        </w:rPr>
        <w:tab/>
      </w:r>
      <w:r w:rsidRPr="00C51A06">
        <w:rPr>
          <w:rFonts w:ascii="Times New Roman" w:eastAsia="Times New Roman" w:hAnsi="Times New Roman" w:cs="Times New Roman"/>
          <w:sz w:val="24"/>
          <w:szCs w:val="24"/>
          <w:lang w:eastAsia="hu-HU"/>
        </w:rPr>
        <w:tab/>
      </w:r>
    </w:p>
    <w:p w:rsidR="00C51A06" w:rsidRPr="00C51A06" w:rsidRDefault="00C51A06" w:rsidP="00C51A06">
      <w:pPr>
        <w:tabs>
          <w:tab w:val="left" w:pos="3402"/>
          <w:tab w:val="left" w:leader="dot" w:pos="9072"/>
        </w:tabs>
        <w:spacing w:after="0" w:line="240" w:lineRule="auto"/>
        <w:jc w:val="both"/>
        <w:rPr>
          <w:rFonts w:ascii="Times New Roman" w:eastAsia="Times New Roman" w:hAnsi="Times New Roman" w:cs="Times New Roman"/>
          <w:sz w:val="24"/>
          <w:szCs w:val="24"/>
          <w:lang w:eastAsia="hu-HU"/>
        </w:rPr>
      </w:pPr>
    </w:p>
    <w:p w:rsidR="00C51A06" w:rsidRPr="00C51A06" w:rsidRDefault="00C51A06" w:rsidP="00C51A06">
      <w:pPr>
        <w:tabs>
          <w:tab w:val="left" w:pos="3402"/>
          <w:tab w:val="left" w:leader="dot" w:pos="9072"/>
        </w:tabs>
        <w:spacing w:after="0" w:line="240" w:lineRule="auto"/>
        <w:jc w:val="both"/>
        <w:rPr>
          <w:rFonts w:ascii="Times New Roman" w:eastAsia="Times New Roman" w:hAnsi="Times New Roman" w:cs="Times New Roman"/>
          <w:sz w:val="24"/>
          <w:szCs w:val="24"/>
          <w:lang w:eastAsia="hu-HU"/>
        </w:rPr>
      </w:pPr>
      <w:r w:rsidRPr="00C51A06">
        <w:rPr>
          <w:rFonts w:ascii="Times New Roman" w:eastAsia="Times New Roman" w:hAnsi="Times New Roman" w:cs="Times New Roman"/>
          <w:sz w:val="24"/>
          <w:szCs w:val="24"/>
          <w:lang w:eastAsia="hu-HU"/>
        </w:rPr>
        <w:t>Ajánlattevő faxszáma:</w:t>
      </w:r>
      <w:r w:rsidRPr="00C51A06">
        <w:rPr>
          <w:rFonts w:ascii="Times New Roman" w:eastAsia="Times New Roman" w:hAnsi="Times New Roman" w:cs="Times New Roman"/>
          <w:sz w:val="24"/>
          <w:szCs w:val="24"/>
          <w:lang w:eastAsia="hu-HU"/>
        </w:rPr>
        <w:tab/>
      </w:r>
      <w:r w:rsidRPr="00C51A06">
        <w:rPr>
          <w:rFonts w:ascii="Times New Roman" w:eastAsia="Times New Roman" w:hAnsi="Times New Roman" w:cs="Times New Roman"/>
          <w:sz w:val="24"/>
          <w:szCs w:val="24"/>
          <w:lang w:eastAsia="hu-HU"/>
        </w:rPr>
        <w:tab/>
      </w:r>
    </w:p>
    <w:p w:rsidR="00C51A06" w:rsidRPr="00C51A06" w:rsidRDefault="00C51A06" w:rsidP="00C51A06">
      <w:pPr>
        <w:spacing w:after="0" w:line="240" w:lineRule="auto"/>
        <w:jc w:val="both"/>
        <w:rPr>
          <w:rFonts w:ascii="Times New Roman" w:eastAsia="Times New Roman" w:hAnsi="Times New Roman" w:cs="Times New Roman"/>
          <w:sz w:val="24"/>
          <w:szCs w:val="24"/>
          <w:lang w:eastAsia="hu-HU"/>
        </w:rPr>
      </w:pPr>
    </w:p>
    <w:p w:rsidR="00C51A06" w:rsidRPr="00C51A06" w:rsidRDefault="00C51A06" w:rsidP="00C51A06">
      <w:pPr>
        <w:spacing w:after="0" w:line="240" w:lineRule="auto"/>
        <w:rPr>
          <w:rFonts w:ascii="Times New Roman" w:eastAsia="Times New Roman" w:hAnsi="Times New Roman" w:cs="Times New Roman"/>
          <w:color w:val="000000"/>
          <w:sz w:val="24"/>
          <w:szCs w:val="24"/>
          <w:lang w:eastAsia="hu-HU"/>
        </w:rPr>
      </w:pPr>
      <w:r w:rsidRPr="00C51A06">
        <w:rPr>
          <w:rFonts w:ascii="Times New Roman" w:eastAsia="Times New Roman" w:hAnsi="Times New Roman" w:cs="Times New Roman"/>
          <w:sz w:val="24"/>
          <w:szCs w:val="24"/>
          <w:lang w:eastAsia="hu-HU"/>
        </w:rPr>
        <w:t>Ajánlattevő email címe:</w:t>
      </w:r>
      <w:r w:rsidRPr="00C51A06">
        <w:rPr>
          <w:rFonts w:ascii="Times New Roman" w:eastAsia="Times New Roman" w:hAnsi="Times New Roman" w:cs="Times New Roman"/>
          <w:sz w:val="24"/>
          <w:szCs w:val="24"/>
          <w:lang w:eastAsia="hu-HU"/>
        </w:rPr>
        <w:tab/>
      </w:r>
      <w:r w:rsidRPr="00C51A06">
        <w:rPr>
          <w:rFonts w:ascii="Times New Roman" w:eastAsia="Times New Roman" w:hAnsi="Times New Roman" w:cs="Times New Roman"/>
          <w:sz w:val="24"/>
          <w:szCs w:val="24"/>
          <w:lang w:eastAsia="hu-HU"/>
        </w:rPr>
        <w:tab/>
        <w:t>…</w:t>
      </w:r>
      <w:proofErr w:type="gramStart"/>
      <w:r w:rsidRPr="00C51A06">
        <w:rPr>
          <w:rFonts w:ascii="Times New Roman" w:eastAsia="Times New Roman" w:hAnsi="Times New Roman" w:cs="Times New Roman"/>
          <w:sz w:val="24"/>
          <w:szCs w:val="24"/>
          <w:lang w:eastAsia="hu-HU"/>
        </w:rPr>
        <w:t>…………………………………………………………</w:t>
      </w:r>
      <w:proofErr w:type="gramEnd"/>
    </w:p>
    <w:p w:rsidR="00C51A06" w:rsidRPr="00C51A06" w:rsidRDefault="00C51A06" w:rsidP="00C51A06">
      <w:pPr>
        <w:spacing w:after="0" w:line="240" w:lineRule="auto"/>
        <w:rPr>
          <w:rFonts w:ascii="Times New Roman" w:eastAsia="Times New Roman" w:hAnsi="Times New Roman" w:cs="Times New Roman"/>
          <w:color w:val="000000"/>
          <w:sz w:val="24"/>
          <w:szCs w:val="24"/>
          <w:lang w:eastAsia="hu-HU"/>
        </w:rPr>
      </w:pPr>
    </w:p>
    <w:p w:rsidR="00C51A06" w:rsidRPr="00C51A06" w:rsidRDefault="00C51A06" w:rsidP="00C51A06">
      <w:pPr>
        <w:spacing w:after="0" w:line="240" w:lineRule="auto"/>
        <w:jc w:val="both"/>
        <w:rPr>
          <w:rFonts w:ascii="Times New Roman" w:eastAsia="Times New Roman" w:hAnsi="Times New Roman" w:cs="Times New Roman"/>
          <w:color w:val="000000"/>
          <w:sz w:val="24"/>
          <w:szCs w:val="24"/>
          <w:lang w:eastAsia="hu-HU"/>
        </w:rPr>
      </w:pPr>
    </w:p>
    <w:p w:rsidR="00C51A06" w:rsidRPr="00C51A06" w:rsidRDefault="00C51A06" w:rsidP="00C51A06">
      <w:pPr>
        <w:spacing w:after="0" w:line="240" w:lineRule="auto"/>
        <w:jc w:val="both"/>
        <w:rPr>
          <w:rFonts w:ascii="Times New Roman" w:eastAsia="Times New Roman" w:hAnsi="Times New Roman" w:cs="Times New Roman"/>
          <w:color w:val="000000"/>
          <w:sz w:val="24"/>
          <w:szCs w:val="24"/>
          <w:lang w:eastAsia="hu-HU"/>
        </w:rPr>
      </w:pPr>
      <w:r w:rsidRPr="00C51A06">
        <w:rPr>
          <w:rFonts w:ascii="Times New Roman" w:eastAsia="Times New Roman" w:hAnsi="Times New Roman" w:cs="Times New Roman"/>
          <w:color w:val="000000"/>
          <w:sz w:val="24"/>
          <w:szCs w:val="24"/>
          <w:lang w:eastAsia="hu-HU"/>
        </w:rPr>
        <w:t>Az ajánlat i ár és az eszköz jótállási ideje:</w:t>
      </w:r>
    </w:p>
    <w:p w:rsidR="00C51A06" w:rsidRPr="00C51A06" w:rsidRDefault="00C51A06" w:rsidP="00C51A06">
      <w:pPr>
        <w:spacing w:after="0" w:line="240" w:lineRule="auto"/>
        <w:jc w:val="both"/>
        <w:rPr>
          <w:rFonts w:ascii="Times New Roman" w:eastAsia="Times New Roman" w:hAnsi="Times New Roman" w:cs="Times New Roman"/>
          <w:color w:val="000000"/>
          <w:sz w:val="24"/>
          <w:szCs w:val="24"/>
          <w:lang w:eastAsia="hu-HU"/>
        </w:rPr>
      </w:pPr>
    </w:p>
    <w:tbl>
      <w:tblPr>
        <w:tblStyle w:val="Rcsostblzat"/>
        <w:tblW w:w="10428" w:type="dxa"/>
        <w:jc w:val="center"/>
        <w:tblLayout w:type="fixed"/>
        <w:tblLook w:val="04A0" w:firstRow="1" w:lastRow="0" w:firstColumn="1" w:lastColumn="0" w:noHBand="0" w:noVBand="1"/>
      </w:tblPr>
      <w:tblGrid>
        <w:gridCol w:w="675"/>
        <w:gridCol w:w="2439"/>
        <w:gridCol w:w="1219"/>
        <w:gridCol w:w="1219"/>
        <w:gridCol w:w="1219"/>
        <w:gridCol w:w="1219"/>
        <w:gridCol w:w="1219"/>
        <w:gridCol w:w="1219"/>
      </w:tblGrid>
      <w:tr w:rsidR="00C51A06" w:rsidRPr="00C51A06" w:rsidTr="00EF624B">
        <w:trPr>
          <w:jc w:val="center"/>
        </w:trPr>
        <w:tc>
          <w:tcPr>
            <w:tcW w:w="3114" w:type="dxa"/>
            <w:gridSpan w:val="2"/>
            <w:vAlign w:val="center"/>
          </w:tcPr>
          <w:p w:rsidR="00C51A06" w:rsidRPr="00C51A06" w:rsidRDefault="00C51A06" w:rsidP="00C51A06">
            <w:pPr>
              <w:spacing w:before="60" w:after="60" w:line="280" w:lineRule="exact"/>
              <w:jc w:val="center"/>
              <w:rPr>
                <w:b/>
              </w:rPr>
            </w:pPr>
            <w:r w:rsidRPr="00C51A06">
              <w:rPr>
                <w:b/>
              </w:rPr>
              <w:t>Részajánlati körök</w:t>
            </w:r>
          </w:p>
        </w:tc>
        <w:tc>
          <w:tcPr>
            <w:tcW w:w="1219" w:type="dxa"/>
          </w:tcPr>
          <w:p w:rsidR="00C51A06" w:rsidRPr="00C51A06" w:rsidRDefault="00C51A06" w:rsidP="00C51A06">
            <w:pPr>
              <w:jc w:val="center"/>
              <w:rPr>
                <w:b/>
              </w:rPr>
            </w:pPr>
            <w:r w:rsidRPr="00C51A06">
              <w:rPr>
                <w:b/>
              </w:rPr>
              <w:t>Nettó egységár</w:t>
            </w:r>
          </w:p>
          <w:p w:rsidR="00C51A06" w:rsidRPr="00C51A06" w:rsidRDefault="00C51A06" w:rsidP="00C51A06">
            <w:pPr>
              <w:jc w:val="center"/>
              <w:rPr>
                <w:b/>
              </w:rPr>
            </w:pPr>
            <w:r w:rsidRPr="00C51A06">
              <w:rPr>
                <w:b/>
              </w:rPr>
              <w:t>(Ft)</w:t>
            </w:r>
          </w:p>
        </w:tc>
        <w:tc>
          <w:tcPr>
            <w:tcW w:w="1219" w:type="dxa"/>
            <w:vAlign w:val="center"/>
          </w:tcPr>
          <w:p w:rsidR="00C51A06" w:rsidRPr="00C51A06" w:rsidRDefault="00C51A06" w:rsidP="00C51A06">
            <w:pPr>
              <w:jc w:val="center"/>
              <w:rPr>
                <w:b/>
              </w:rPr>
            </w:pPr>
            <w:r w:rsidRPr="00C51A06">
              <w:rPr>
                <w:b/>
              </w:rPr>
              <w:t>Mennyiség</w:t>
            </w:r>
          </w:p>
          <w:p w:rsidR="00C51A06" w:rsidRPr="00C51A06" w:rsidRDefault="00C51A06" w:rsidP="00C51A06">
            <w:pPr>
              <w:jc w:val="center"/>
              <w:rPr>
                <w:b/>
              </w:rPr>
            </w:pPr>
            <w:r w:rsidRPr="00C51A06">
              <w:rPr>
                <w:b/>
              </w:rPr>
              <w:t>(db)</w:t>
            </w:r>
          </w:p>
        </w:tc>
        <w:tc>
          <w:tcPr>
            <w:tcW w:w="1219" w:type="dxa"/>
            <w:vAlign w:val="center"/>
          </w:tcPr>
          <w:p w:rsidR="00C51A06" w:rsidRPr="00C51A06" w:rsidRDefault="00C51A06" w:rsidP="00C51A06">
            <w:pPr>
              <w:jc w:val="center"/>
              <w:rPr>
                <w:b/>
              </w:rPr>
            </w:pPr>
            <w:r w:rsidRPr="00C51A06">
              <w:rPr>
                <w:b/>
              </w:rPr>
              <w:t>Nettó ár</w:t>
            </w:r>
          </w:p>
          <w:p w:rsidR="00C51A06" w:rsidRPr="00C51A06" w:rsidRDefault="00C51A06" w:rsidP="00C51A06">
            <w:pPr>
              <w:jc w:val="center"/>
              <w:rPr>
                <w:b/>
              </w:rPr>
            </w:pPr>
            <w:r w:rsidRPr="00C51A06">
              <w:rPr>
                <w:b/>
              </w:rPr>
              <w:t>(Ft)</w:t>
            </w:r>
          </w:p>
        </w:tc>
        <w:tc>
          <w:tcPr>
            <w:tcW w:w="1219" w:type="dxa"/>
            <w:vAlign w:val="center"/>
          </w:tcPr>
          <w:p w:rsidR="00C51A06" w:rsidRPr="00C51A06" w:rsidRDefault="00C51A06" w:rsidP="00C51A06">
            <w:pPr>
              <w:jc w:val="center"/>
              <w:rPr>
                <w:b/>
              </w:rPr>
            </w:pPr>
            <w:r w:rsidRPr="00C51A06">
              <w:rPr>
                <w:b/>
              </w:rPr>
              <w:t>ÁFA</w:t>
            </w:r>
          </w:p>
          <w:p w:rsidR="00C51A06" w:rsidRPr="00C51A06" w:rsidRDefault="00C51A06" w:rsidP="00C51A06">
            <w:pPr>
              <w:jc w:val="center"/>
              <w:rPr>
                <w:b/>
              </w:rPr>
            </w:pPr>
            <w:r w:rsidRPr="00C51A06">
              <w:rPr>
                <w:b/>
              </w:rPr>
              <w:t>27%</w:t>
            </w:r>
          </w:p>
        </w:tc>
        <w:tc>
          <w:tcPr>
            <w:tcW w:w="1219" w:type="dxa"/>
            <w:vAlign w:val="center"/>
          </w:tcPr>
          <w:p w:rsidR="00C51A06" w:rsidRPr="00C51A06" w:rsidRDefault="00C51A06" w:rsidP="00C51A06">
            <w:pPr>
              <w:jc w:val="center"/>
              <w:rPr>
                <w:b/>
              </w:rPr>
            </w:pPr>
            <w:r w:rsidRPr="00C51A06">
              <w:rPr>
                <w:b/>
              </w:rPr>
              <w:t>Bruttó ár</w:t>
            </w:r>
          </w:p>
          <w:p w:rsidR="00C51A06" w:rsidRPr="00C51A06" w:rsidRDefault="00C51A06" w:rsidP="00C51A06">
            <w:pPr>
              <w:jc w:val="center"/>
              <w:rPr>
                <w:b/>
              </w:rPr>
            </w:pPr>
            <w:r w:rsidRPr="00C51A06">
              <w:rPr>
                <w:b/>
              </w:rPr>
              <w:t>(Ft)</w:t>
            </w:r>
          </w:p>
        </w:tc>
        <w:tc>
          <w:tcPr>
            <w:tcW w:w="1219" w:type="dxa"/>
            <w:vAlign w:val="center"/>
          </w:tcPr>
          <w:p w:rsidR="00C51A06" w:rsidRPr="00C51A06" w:rsidRDefault="00C51A06" w:rsidP="00C51A06">
            <w:pPr>
              <w:jc w:val="center"/>
              <w:rPr>
                <w:b/>
              </w:rPr>
            </w:pPr>
            <w:r w:rsidRPr="00C51A06">
              <w:rPr>
                <w:b/>
              </w:rPr>
              <w:t>Jótállási idő*</w:t>
            </w:r>
          </w:p>
          <w:p w:rsidR="00C51A06" w:rsidRPr="00C51A06" w:rsidRDefault="00C51A06" w:rsidP="00C51A06">
            <w:pPr>
              <w:jc w:val="center"/>
              <w:rPr>
                <w:b/>
              </w:rPr>
            </w:pPr>
            <w:r w:rsidRPr="00C51A06">
              <w:rPr>
                <w:b/>
              </w:rPr>
              <w:t>(hónap)</w:t>
            </w:r>
          </w:p>
        </w:tc>
      </w:tr>
      <w:tr w:rsidR="00C51A06" w:rsidRPr="00C51A06" w:rsidTr="00EF624B">
        <w:trPr>
          <w:jc w:val="center"/>
        </w:trPr>
        <w:tc>
          <w:tcPr>
            <w:tcW w:w="675" w:type="dxa"/>
            <w:vAlign w:val="center"/>
          </w:tcPr>
          <w:p w:rsidR="00C51A06" w:rsidRPr="00C51A06" w:rsidRDefault="00C51A06" w:rsidP="00C51A06">
            <w:pPr>
              <w:spacing w:before="60" w:after="60" w:line="280" w:lineRule="exact"/>
            </w:pPr>
            <w:r w:rsidRPr="00C51A06">
              <w:t xml:space="preserve">1. </w:t>
            </w:r>
            <w:proofErr w:type="spellStart"/>
            <w:r w:rsidRPr="00C51A06">
              <w:t>rk</w:t>
            </w:r>
            <w:proofErr w:type="spellEnd"/>
            <w:r w:rsidRPr="00C51A06">
              <w:t>.</w:t>
            </w:r>
          </w:p>
        </w:tc>
        <w:tc>
          <w:tcPr>
            <w:tcW w:w="2439" w:type="dxa"/>
            <w:vAlign w:val="center"/>
          </w:tcPr>
          <w:p w:rsidR="00C51A06" w:rsidRPr="00C51A06" w:rsidRDefault="00C51A06" w:rsidP="00C51A06">
            <w:pPr>
              <w:spacing w:before="60" w:after="60" w:line="280" w:lineRule="exact"/>
            </w:pPr>
            <w:r w:rsidRPr="00C51A06">
              <w:rPr>
                <w:color w:val="000000"/>
              </w:rPr>
              <w:t xml:space="preserve">FAME </w:t>
            </w:r>
            <w:proofErr w:type="gramStart"/>
            <w:r w:rsidRPr="00C51A06">
              <w:rPr>
                <w:color w:val="000000"/>
              </w:rPr>
              <w:t>tartalom mérő</w:t>
            </w:r>
            <w:proofErr w:type="gramEnd"/>
            <w:r w:rsidRPr="00C51A06">
              <w:rPr>
                <w:color w:val="000000"/>
              </w:rPr>
              <w:t xml:space="preserve"> berendezés</w:t>
            </w:r>
          </w:p>
        </w:tc>
        <w:tc>
          <w:tcPr>
            <w:tcW w:w="1219" w:type="dxa"/>
            <w:vAlign w:val="center"/>
          </w:tcPr>
          <w:p w:rsidR="00C51A06" w:rsidRPr="00C51A06" w:rsidRDefault="00C51A06" w:rsidP="00C51A06">
            <w:pPr>
              <w:spacing w:before="60" w:after="60" w:line="280" w:lineRule="exact"/>
            </w:pPr>
          </w:p>
        </w:tc>
        <w:tc>
          <w:tcPr>
            <w:tcW w:w="1219" w:type="dxa"/>
            <w:vAlign w:val="center"/>
          </w:tcPr>
          <w:p w:rsidR="00C51A06" w:rsidRPr="00C51A06" w:rsidRDefault="00C51A06" w:rsidP="00C51A06">
            <w:pPr>
              <w:spacing w:before="60" w:after="60" w:line="280" w:lineRule="exact"/>
              <w:jc w:val="center"/>
            </w:pPr>
            <w:r w:rsidRPr="00C51A06">
              <w:t>1</w:t>
            </w:r>
          </w:p>
        </w:tc>
        <w:tc>
          <w:tcPr>
            <w:tcW w:w="1219" w:type="dxa"/>
            <w:vAlign w:val="center"/>
          </w:tcPr>
          <w:p w:rsidR="00C51A06" w:rsidRPr="00C51A06" w:rsidRDefault="00C51A06" w:rsidP="00C51A06">
            <w:pPr>
              <w:spacing w:before="60" w:after="60" w:line="280" w:lineRule="exact"/>
            </w:pPr>
          </w:p>
        </w:tc>
        <w:tc>
          <w:tcPr>
            <w:tcW w:w="1219" w:type="dxa"/>
            <w:vAlign w:val="center"/>
          </w:tcPr>
          <w:p w:rsidR="00C51A06" w:rsidRPr="00C51A06" w:rsidRDefault="00C51A06" w:rsidP="00C51A06">
            <w:pPr>
              <w:spacing w:before="60" w:after="60" w:line="280" w:lineRule="exact"/>
              <w:ind w:left="-831" w:right="771" w:firstLine="831"/>
            </w:pPr>
          </w:p>
        </w:tc>
        <w:tc>
          <w:tcPr>
            <w:tcW w:w="1219" w:type="dxa"/>
            <w:vAlign w:val="center"/>
          </w:tcPr>
          <w:p w:rsidR="00C51A06" w:rsidRPr="00C51A06" w:rsidRDefault="00C51A06" w:rsidP="00C51A06">
            <w:pPr>
              <w:spacing w:before="60" w:after="60" w:line="280" w:lineRule="exact"/>
              <w:ind w:left="-122" w:firstLine="122"/>
            </w:pPr>
          </w:p>
        </w:tc>
        <w:tc>
          <w:tcPr>
            <w:tcW w:w="1219" w:type="dxa"/>
            <w:vAlign w:val="center"/>
          </w:tcPr>
          <w:p w:rsidR="00C51A06" w:rsidRPr="00C51A06" w:rsidRDefault="00C51A06" w:rsidP="00C51A06">
            <w:pPr>
              <w:spacing w:before="60" w:after="60" w:line="280" w:lineRule="exact"/>
              <w:ind w:left="-122" w:firstLine="122"/>
            </w:pPr>
          </w:p>
        </w:tc>
      </w:tr>
      <w:tr w:rsidR="00C51A06" w:rsidRPr="00C51A06" w:rsidTr="00EF624B">
        <w:trPr>
          <w:jc w:val="center"/>
        </w:trPr>
        <w:tc>
          <w:tcPr>
            <w:tcW w:w="675" w:type="dxa"/>
            <w:vAlign w:val="center"/>
          </w:tcPr>
          <w:p w:rsidR="00C51A06" w:rsidRPr="00C51A06" w:rsidRDefault="00C51A06" w:rsidP="00C51A06">
            <w:pPr>
              <w:spacing w:before="60" w:after="60" w:line="280" w:lineRule="exact"/>
            </w:pPr>
            <w:r w:rsidRPr="00C51A06">
              <w:t xml:space="preserve">2. </w:t>
            </w:r>
            <w:proofErr w:type="spellStart"/>
            <w:r w:rsidRPr="00C51A06">
              <w:t>rk</w:t>
            </w:r>
            <w:proofErr w:type="spellEnd"/>
            <w:r w:rsidRPr="00C51A06">
              <w:t>.</w:t>
            </w:r>
          </w:p>
        </w:tc>
        <w:tc>
          <w:tcPr>
            <w:tcW w:w="2439" w:type="dxa"/>
            <w:vAlign w:val="center"/>
          </w:tcPr>
          <w:p w:rsidR="00C51A06" w:rsidRPr="00C51A06" w:rsidRDefault="00C51A06" w:rsidP="00C51A06">
            <w:pPr>
              <w:spacing w:before="60" w:after="60" w:line="280" w:lineRule="exact"/>
              <w:ind w:right="34"/>
            </w:pPr>
            <w:r w:rsidRPr="00C51A06">
              <w:rPr>
                <w:color w:val="000000"/>
              </w:rPr>
              <w:t>kinematikus és dinamikus viszkozitás mérő készülék</w:t>
            </w:r>
          </w:p>
        </w:tc>
        <w:tc>
          <w:tcPr>
            <w:tcW w:w="1219" w:type="dxa"/>
            <w:vAlign w:val="center"/>
          </w:tcPr>
          <w:p w:rsidR="00C51A06" w:rsidRPr="00C51A06" w:rsidRDefault="00C51A06" w:rsidP="00C51A06">
            <w:pPr>
              <w:spacing w:before="60" w:after="60" w:line="280" w:lineRule="exact"/>
            </w:pPr>
          </w:p>
        </w:tc>
        <w:tc>
          <w:tcPr>
            <w:tcW w:w="1219" w:type="dxa"/>
            <w:vAlign w:val="center"/>
          </w:tcPr>
          <w:p w:rsidR="00C51A06" w:rsidRPr="00C51A06" w:rsidRDefault="00C51A06" w:rsidP="00C51A06">
            <w:pPr>
              <w:spacing w:before="60" w:after="60" w:line="280" w:lineRule="exact"/>
              <w:jc w:val="center"/>
            </w:pPr>
            <w:r w:rsidRPr="00C51A06">
              <w:t>1</w:t>
            </w:r>
          </w:p>
        </w:tc>
        <w:tc>
          <w:tcPr>
            <w:tcW w:w="1219" w:type="dxa"/>
            <w:vAlign w:val="center"/>
          </w:tcPr>
          <w:p w:rsidR="00C51A06" w:rsidRPr="00C51A06" w:rsidRDefault="00C51A06" w:rsidP="00C51A06">
            <w:pPr>
              <w:spacing w:before="60" w:after="60" w:line="280" w:lineRule="exact"/>
            </w:pPr>
          </w:p>
        </w:tc>
        <w:tc>
          <w:tcPr>
            <w:tcW w:w="1219" w:type="dxa"/>
            <w:vAlign w:val="center"/>
          </w:tcPr>
          <w:p w:rsidR="00C51A06" w:rsidRPr="00C51A06" w:rsidRDefault="00C51A06" w:rsidP="00C51A06">
            <w:pPr>
              <w:spacing w:before="60" w:after="60" w:line="280" w:lineRule="exact"/>
              <w:ind w:left="-831" w:right="771" w:firstLine="831"/>
            </w:pPr>
          </w:p>
        </w:tc>
        <w:tc>
          <w:tcPr>
            <w:tcW w:w="1219" w:type="dxa"/>
            <w:vAlign w:val="center"/>
          </w:tcPr>
          <w:p w:rsidR="00C51A06" w:rsidRPr="00C51A06" w:rsidRDefault="00C51A06" w:rsidP="00C51A06">
            <w:pPr>
              <w:spacing w:before="60" w:after="60" w:line="280" w:lineRule="exact"/>
              <w:ind w:left="-122" w:firstLine="122"/>
            </w:pPr>
          </w:p>
        </w:tc>
        <w:tc>
          <w:tcPr>
            <w:tcW w:w="1219" w:type="dxa"/>
            <w:vAlign w:val="center"/>
          </w:tcPr>
          <w:p w:rsidR="00C51A06" w:rsidRPr="00C51A06" w:rsidRDefault="00C51A06" w:rsidP="00C51A06">
            <w:pPr>
              <w:spacing w:before="60" w:after="60" w:line="280" w:lineRule="exact"/>
              <w:ind w:left="-122" w:firstLine="122"/>
            </w:pPr>
          </w:p>
        </w:tc>
      </w:tr>
      <w:tr w:rsidR="00C51A06" w:rsidRPr="00C51A06" w:rsidTr="00EF624B">
        <w:trPr>
          <w:jc w:val="center"/>
        </w:trPr>
        <w:tc>
          <w:tcPr>
            <w:tcW w:w="675" w:type="dxa"/>
            <w:vAlign w:val="center"/>
          </w:tcPr>
          <w:p w:rsidR="00C51A06" w:rsidRPr="00C51A06" w:rsidRDefault="00C51A06" w:rsidP="00C51A06">
            <w:pPr>
              <w:spacing w:before="60" w:after="60" w:line="280" w:lineRule="exact"/>
            </w:pPr>
            <w:r w:rsidRPr="00C51A06">
              <w:t xml:space="preserve">3. </w:t>
            </w:r>
            <w:proofErr w:type="spellStart"/>
            <w:r w:rsidRPr="00C51A06">
              <w:t>rk</w:t>
            </w:r>
            <w:proofErr w:type="spellEnd"/>
            <w:r w:rsidRPr="00C51A06">
              <w:t>.</w:t>
            </w:r>
          </w:p>
        </w:tc>
        <w:tc>
          <w:tcPr>
            <w:tcW w:w="2439" w:type="dxa"/>
            <w:vAlign w:val="center"/>
          </w:tcPr>
          <w:p w:rsidR="00C51A06" w:rsidRPr="00C51A06" w:rsidRDefault="00C51A06" w:rsidP="00C51A06">
            <w:pPr>
              <w:spacing w:before="60" w:after="60" w:line="280" w:lineRule="exact"/>
            </w:pPr>
            <w:r w:rsidRPr="00C51A06">
              <w:rPr>
                <w:color w:val="000000"/>
              </w:rPr>
              <w:t>automata atmoszférikus desztilláló berendezés</w:t>
            </w:r>
          </w:p>
        </w:tc>
        <w:tc>
          <w:tcPr>
            <w:tcW w:w="1219" w:type="dxa"/>
            <w:vAlign w:val="center"/>
          </w:tcPr>
          <w:p w:rsidR="00C51A06" w:rsidRPr="00C51A06" w:rsidRDefault="00C51A06" w:rsidP="00C51A06">
            <w:pPr>
              <w:spacing w:before="60" w:after="60" w:line="280" w:lineRule="exact"/>
            </w:pPr>
          </w:p>
        </w:tc>
        <w:tc>
          <w:tcPr>
            <w:tcW w:w="1219" w:type="dxa"/>
            <w:vAlign w:val="center"/>
          </w:tcPr>
          <w:p w:rsidR="00C51A06" w:rsidRPr="00C51A06" w:rsidRDefault="00C51A06" w:rsidP="00C51A06">
            <w:pPr>
              <w:spacing w:before="60" w:after="60" w:line="280" w:lineRule="exact"/>
              <w:jc w:val="center"/>
            </w:pPr>
            <w:r w:rsidRPr="00C51A06">
              <w:t>5</w:t>
            </w:r>
          </w:p>
        </w:tc>
        <w:tc>
          <w:tcPr>
            <w:tcW w:w="1219" w:type="dxa"/>
            <w:vAlign w:val="center"/>
          </w:tcPr>
          <w:p w:rsidR="00C51A06" w:rsidRPr="00C51A06" w:rsidRDefault="00C51A06" w:rsidP="00C51A06">
            <w:pPr>
              <w:spacing w:before="60" w:after="60" w:line="280" w:lineRule="exact"/>
            </w:pPr>
          </w:p>
        </w:tc>
        <w:tc>
          <w:tcPr>
            <w:tcW w:w="1219" w:type="dxa"/>
            <w:vAlign w:val="center"/>
          </w:tcPr>
          <w:p w:rsidR="00C51A06" w:rsidRPr="00C51A06" w:rsidRDefault="00C51A06" w:rsidP="00C51A06">
            <w:pPr>
              <w:spacing w:before="60" w:after="60" w:line="280" w:lineRule="exact"/>
              <w:ind w:left="-831" w:right="771" w:firstLine="831"/>
            </w:pPr>
          </w:p>
        </w:tc>
        <w:tc>
          <w:tcPr>
            <w:tcW w:w="1219" w:type="dxa"/>
            <w:vAlign w:val="center"/>
          </w:tcPr>
          <w:p w:rsidR="00C51A06" w:rsidRPr="00C51A06" w:rsidRDefault="00C51A06" w:rsidP="00C51A06">
            <w:pPr>
              <w:spacing w:before="60" w:after="60" w:line="280" w:lineRule="exact"/>
              <w:ind w:left="-122" w:firstLine="122"/>
            </w:pPr>
          </w:p>
        </w:tc>
        <w:tc>
          <w:tcPr>
            <w:tcW w:w="1219" w:type="dxa"/>
            <w:vAlign w:val="center"/>
          </w:tcPr>
          <w:p w:rsidR="00C51A06" w:rsidRPr="00C51A06" w:rsidRDefault="00C51A06" w:rsidP="00C51A06">
            <w:pPr>
              <w:spacing w:before="60" w:after="60" w:line="280" w:lineRule="exact"/>
              <w:ind w:left="-122" w:firstLine="122"/>
            </w:pPr>
          </w:p>
        </w:tc>
      </w:tr>
    </w:tbl>
    <w:p w:rsidR="00C51A06" w:rsidRPr="00C51A06" w:rsidRDefault="00C51A06" w:rsidP="00C51A06">
      <w:pPr>
        <w:spacing w:before="60" w:after="60" w:line="280" w:lineRule="exact"/>
        <w:rPr>
          <w:rFonts w:ascii="Times New Roman" w:eastAsia="Times New Roman" w:hAnsi="Times New Roman" w:cs="Times New Roman"/>
          <w:b/>
          <w:sz w:val="20"/>
          <w:szCs w:val="20"/>
          <w:lang w:eastAsia="hu-HU"/>
        </w:rPr>
      </w:pPr>
      <w:r w:rsidRPr="00C51A06">
        <w:rPr>
          <w:rFonts w:ascii="Times New Roman" w:eastAsia="Times New Roman" w:hAnsi="Times New Roman" w:cs="Times New Roman"/>
          <w:b/>
          <w:sz w:val="20"/>
          <w:szCs w:val="20"/>
          <w:lang w:eastAsia="hu-HU"/>
        </w:rPr>
        <w:t>*</w:t>
      </w:r>
      <w:r w:rsidRPr="00C51A06">
        <w:rPr>
          <w:rFonts w:ascii="Times New Roman" w:eastAsia="Times New Roman" w:hAnsi="Times New Roman" w:cs="Times New Roman"/>
          <w:sz w:val="20"/>
          <w:szCs w:val="20"/>
          <w:lang w:eastAsia="hu-HU"/>
        </w:rPr>
        <w:t>A megajánlott termékeknek minimum 12 hónap jótállással kell rendelkezniük.</w:t>
      </w:r>
    </w:p>
    <w:p w:rsidR="00C51A06" w:rsidRPr="00C51A06" w:rsidRDefault="00C51A06" w:rsidP="00C51A06">
      <w:pPr>
        <w:spacing w:after="0" w:line="240" w:lineRule="auto"/>
        <w:jc w:val="both"/>
        <w:rPr>
          <w:rFonts w:ascii="Times New Roman" w:eastAsia="Times New Roman" w:hAnsi="Times New Roman" w:cs="Times New Roman"/>
          <w:color w:val="000000"/>
          <w:sz w:val="24"/>
          <w:szCs w:val="24"/>
          <w:lang w:eastAsia="hu-HU"/>
        </w:rPr>
      </w:pPr>
    </w:p>
    <w:p w:rsidR="00C51A06" w:rsidRPr="00C51A06" w:rsidRDefault="00C51A06" w:rsidP="00C51A06">
      <w:pPr>
        <w:spacing w:after="0" w:line="240" w:lineRule="auto"/>
        <w:jc w:val="both"/>
        <w:rPr>
          <w:rFonts w:ascii="Times New Roman" w:eastAsia="Times New Roman" w:hAnsi="Times New Roman" w:cs="Times New Roman"/>
          <w:sz w:val="24"/>
          <w:szCs w:val="24"/>
          <w:lang w:eastAsia="hu-HU"/>
        </w:rPr>
      </w:pPr>
    </w:p>
    <w:p w:rsidR="00C51A06" w:rsidRPr="00C51A06" w:rsidRDefault="00C51A06" w:rsidP="00C51A06">
      <w:pPr>
        <w:spacing w:after="0" w:line="240" w:lineRule="auto"/>
        <w:jc w:val="both"/>
        <w:rPr>
          <w:rFonts w:ascii="Times New Roman" w:eastAsia="Times New Roman" w:hAnsi="Times New Roman" w:cs="Times New Roman"/>
          <w:sz w:val="24"/>
          <w:szCs w:val="24"/>
          <w:lang w:eastAsia="hu-HU"/>
        </w:rPr>
      </w:pPr>
    </w:p>
    <w:p w:rsidR="00C51A06" w:rsidRPr="00C51A06" w:rsidRDefault="00C51A06" w:rsidP="00C51A06">
      <w:pPr>
        <w:spacing w:after="0" w:line="240" w:lineRule="auto"/>
        <w:jc w:val="both"/>
        <w:rPr>
          <w:rFonts w:ascii="Times New Roman" w:eastAsia="Times New Roman" w:hAnsi="Times New Roman" w:cs="Times New Roman"/>
          <w:b/>
          <w:color w:val="000000"/>
          <w:sz w:val="24"/>
          <w:szCs w:val="24"/>
          <w:lang w:eastAsia="hu-HU"/>
        </w:rPr>
      </w:pPr>
      <w:r w:rsidRPr="00C51A06">
        <w:rPr>
          <w:rFonts w:ascii="Times New Roman" w:eastAsia="Times New Roman" w:hAnsi="Times New Roman" w:cs="Times New Roman"/>
          <w:sz w:val="24"/>
          <w:szCs w:val="24"/>
          <w:lang w:eastAsia="hu-HU"/>
        </w:rPr>
        <w:t>Dátum,</w:t>
      </w:r>
    </w:p>
    <w:p w:rsidR="00C51A06" w:rsidRPr="00C51A06" w:rsidRDefault="00C51A06" w:rsidP="00C51A06">
      <w:pPr>
        <w:spacing w:before="120" w:after="120" w:line="240" w:lineRule="auto"/>
        <w:ind w:firstLine="705"/>
        <w:rPr>
          <w:rFonts w:ascii="Times New Roman" w:eastAsia="Times New Roman" w:hAnsi="Times New Roman" w:cs="Times New Roman"/>
          <w:sz w:val="24"/>
          <w:szCs w:val="24"/>
          <w:lang w:eastAsia="hu-HU"/>
        </w:rPr>
      </w:pPr>
    </w:p>
    <w:p w:rsidR="00C51A06" w:rsidRPr="00C51A06" w:rsidRDefault="00C51A06" w:rsidP="00C51A06">
      <w:pPr>
        <w:spacing w:after="0" w:line="240" w:lineRule="auto"/>
        <w:ind w:left="5400"/>
        <w:jc w:val="center"/>
        <w:rPr>
          <w:rFonts w:ascii="Times New Roman" w:eastAsia="Times New Roman" w:hAnsi="Times New Roman" w:cs="Times New Roman"/>
          <w:sz w:val="24"/>
          <w:szCs w:val="24"/>
          <w:lang w:eastAsia="hu-HU"/>
        </w:rPr>
      </w:pPr>
      <w:r w:rsidRPr="00C51A06">
        <w:rPr>
          <w:rFonts w:ascii="Times New Roman" w:eastAsia="Times New Roman" w:hAnsi="Times New Roman" w:cs="Times New Roman"/>
          <w:sz w:val="24"/>
          <w:szCs w:val="24"/>
          <w:lang w:eastAsia="hu-HU"/>
        </w:rPr>
        <w:t>__________________________</w:t>
      </w:r>
    </w:p>
    <w:p w:rsidR="00C51A06" w:rsidRPr="00C51A06" w:rsidRDefault="00C51A06" w:rsidP="00C51A06">
      <w:pPr>
        <w:spacing w:after="0" w:line="240" w:lineRule="auto"/>
        <w:ind w:left="4248" w:firstLine="708"/>
        <w:jc w:val="center"/>
        <w:rPr>
          <w:rFonts w:ascii="Times New Roman" w:eastAsia="Times New Roman" w:hAnsi="Times New Roman" w:cs="Times New Roman"/>
          <w:b/>
          <w:sz w:val="24"/>
          <w:szCs w:val="24"/>
          <w:lang w:eastAsia="hu-HU"/>
        </w:rPr>
      </w:pPr>
      <w:proofErr w:type="gramStart"/>
      <w:r w:rsidRPr="00C51A06">
        <w:rPr>
          <w:rFonts w:ascii="Times New Roman" w:eastAsia="Times New Roman" w:hAnsi="Times New Roman" w:cs="Times New Roman"/>
          <w:sz w:val="24"/>
          <w:szCs w:val="24"/>
          <w:lang w:eastAsia="hu-HU"/>
        </w:rPr>
        <w:t>cégszerű</w:t>
      </w:r>
      <w:proofErr w:type="gramEnd"/>
      <w:r w:rsidRPr="00C51A06">
        <w:rPr>
          <w:rFonts w:ascii="Times New Roman" w:eastAsia="Times New Roman" w:hAnsi="Times New Roman" w:cs="Times New Roman"/>
          <w:sz w:val="24"/>
          <w:szCs w:val="24"/>
          <w:lang w:eastAsia="hu-HU"/>
        </w:rPr>
        <w:t xml:space="preserve"> aláírás</w:t>
      </w:r>
    </w:p>
    <w:p w:rsidR="00C51A06" w:rsidRPr="00C51A06" w:rsidRDefault="00C51A06" w:rsidP="00C51A06">
      <w:pPr>
        <w:spacing w:after="0" w:line="240" w:lineRule="auto"/>
        <w:rPr>
          <w:rFonts w:ascii="Times New Roman" w:eastAsia="Times New Roman" w:hAnsi="Times New Roman" w:cs="Times New Roman"/>
          <w:b/>
          <w:sz w:val="24"/>
          <w:szCs w:val="24"/>
          <w:lang w:eastAsia="hu-HU"/>
        </w:rPr>
      </w:pPr>
      <w:r w:rsidRPr="00C51A06">
        <w:rPr>
          <w:rFonts w:ascii="Times New Roman" w:eastAsia="Times New Roman" w:hAnsi="Times New Roman" w:cs="Times New Roman"/>
          <w:b/>
          <w:sz w:val="24"/>
          <w:szCs w:val="24"/>
          <w:lang w:eastAsia="hu-HU"/>
        </w:rPr>
        <w:br w:type="page"/>
      </w:r>
    </w:p>
    <w:p w:rsidR="000170E8" w:rsidRDefault="00C51A06">
      <w:bookmarkStart w:id="2" w:name="_GoBack"/>
      <w:bookmarkEnd w:id="2"/>
    </w:p>
    <w:sectPr w:rsidR="000170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06" w:rsidRDefault="00C51A06" w:rsidP="00C51A06">
      <w:pPr>
        <w:spacing w:after="0" w:line="240" w:lineRule="auto"/>
      </w:pPr>
      <w:r>
        <w:separator/>
      </w:r>
    </w:p>
  </w:endnote>
  <w:endnote w:type="continuationSeparator" w:id="0">
    <w:p w:rsidR="00C51A06" w:rsidRDefault="00C51A06" w:rsidP="00C5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06" w:rsidRDefault="00C51A06" w:rsidP="00C51A06">
      <w:pPr>
        <w:spacing w:after="0" w:line="240" w:lineRule="auto"/>
      </w:pPr>
      <w:r>
        <w:separator/>
      </w:r>
    </w:p>
  </w:footnote>
  <w:footnote w:type="continuationSeparator" w:id="0">
    <w:p w:rsidR="00C51A06" w:rsidRDefault="00C51A06" w:rsidP="00C51A06">
      <w:pPr>
        <w:spacing w:after="0" w:line="240" w:lineRule="auto"/>
      </w:pPr>
      <w:r>
        <w:continuationSeparator/>
      </w:r>
    </w:p>
  </w:footnote>
  <w:footnote w:id="1">
    <w:p w:rsidR="00C51A06" w:rsidRPr="00592D12" w:rsidRDefault="00C51A06" w:rsidP="00C51A06">
      <w:pPr>
        <w:pStyle w:val="Lbjegyzetszveg"/>
        <w:jc w:val="both"/>
        <w:rPr>
          <w:sz w:val="16"/>
          <w:szCs w:val="16"/>
        </w:rPr>
      </w:pPr>
      <w:r w:rsidRPr="00592D12">
        <w:rPr>
          <w:rStyle w:val="Lbjegyzet-hivatkozs"/>
          <w:sz w:val="16"/>
          <w:szCs w:val="16"/>
        </w:rPr>
        <w:sym w:font="Symbol" w:char="F02A"/>
      </w:r>
      <w:r w:rsidRPr="00592D12">
        <w:rPr>
          <w:sz w:val="16"/>
          <w:szCs w:val="16"/>
        </w:rPr>
        <w:t xml:space="preserve"> Közös (konzorciumi) ajánlattétel esetén a konzorcium neve mellett az egyes ajánlattevők (konzorcium tagjai) nevét és székhelyét is fel kell tüntetni!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48F"/>
    <w:multiLevelType w:val="hybridMultilevel"/>
    <w:tmpl w:val="DEF2A808"/>
    <w:lvl w:ilvl="0" w:tplc="CC706F90">
      <w:start w:val="3"/>
      <w:numFmt w:val="decimal"/>
      <w:lvlText w:val="%1."/>
      <w:lvlJc w:val="left"/>
      <w:pPr>
        <w:tabs>
          <w:tab w:val="num" w:pos="357"/>
        </w:tabs>
        <w:ind w:left="720" w:hanging="720"/>
      </w:pPr>
      <w:rPr>
        <w:rFonts w:cs="Times New Roman"/>
        <w:b w:val="0"/>
        <w:bCs w:val="0"/>
        <w:sz w:val="24"/>
        <w:szCs w:val="24"/>
      </w:rPr>
    </w:lvl>
    <w:lvl w:ilvl="1" w:tplc="040E0019">
      <w:start w:val="1"/>
      <w:numFmt w:val="lowerLetter"/>
      <w:lvlText w:val="%2."/>
      <w:lvlJc w:val="left"/>
      <w:pPr>
        <w:tabs>
          <w:tab w:val="num" w:pos="1440"/>
        </w:tabs>
        <w:ind w:left="1440" w:hanging="360"/>
      </w:pPr>
      <w:rPr>
        <w:rFonts w:cs="Times New Roman"/>
      </w:rPr>
    </w:lvl>
    <w:lvl w:ilvl="2" w:tplc="C5A62E1C">
      <w:start w:val="1"/>
      <w:numFmt w:val="decimal"/>
      <w:lvlText w:val="%3."/>
      <w:lvlJc w:val="left"/>
      <w:pPr>
        <w:tabs>
          <w:tab w:val="num" w:pos="2160"/>
        </w:tabs>
        <w:ind w:left="2160" w:hanging="360"/>
      </w:pPr>
      <w:rPr>
        <w:rFonts w:ascii="Times New Roman" w:hAnsi="Times New Roman" w:cs="Times New Roman" w:hint="default"/>
        <w:b/>
        <w:i w:val="0"/>
        <w:sz w:val="24"/>
        <w:szCs w:val="24"/>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06"/>
    <w:rsid w:val="000730F3"/>
    <w:rsid w:val="005F15DC"/>
    <w:rsid w:val="00C51A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C51A0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C51A0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C51A06"/>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C51A0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C51A0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C51A0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C51A06"/>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C51A0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663</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Jónás Krisztián</dc:creator>
  <cp:lastModifiedBy>Jónás Krisztián</cp:lastModifiedBy>
  <cp:revision>1</cp:revision>
  <dcterms:created xsi:type="dcterms:W3CDTF">2016-11-02T10:08:00Z</dcterms:created>
  <dcterms:modified xsi:type="dcterms:W3CDTF">2016-11-02T10:08:00Z</dcterms:modified>
</cp:coreProperties>
</file>