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9568"/>
      </w:tblGrid>
      <w:tr w:rsidR="00503DEE" w:rsidRPr="000A1443" w:rsidTr="006408F7">
        <w:tc>
          <w:tcPr>
            <w:tcW w:w="9568" w:type="dxa"/>
          </w:tcPr>
          <w:p w:rsidR="00503DEE" w:rsidRPr="005411DB" w:rsidRDefault="00503DEE" w:rsidP="006408F7">
            <w:pPr>
              <w:tabs>
                <w:tab w:val="left" w:pos="238"/>
              </w:tabs>
              <w:suppressAutoHyphens/>
              <w:rPr>
                <w:sz w:val="12"/>
                <w:szCs w:val="12"/>
              </w:rPr>
            </w:pPr>
            <w:r>
              <w:tab/>
            </w:r>
          </w:p>
          <w:p w:rsidR="00503DEE" w:rsidRPr="00571548" w:rsidRDefault="00503DEE" w:rsidP="006408F7">
            <w:pPr>
              <w:pStyle w:val="Cmsor2"/>
              <w:spacing w:before="0" w:after="0"/>
              <w:jc w:val="right"/>
              <w:rPr>
                <w:rFonts w:ascii="Times New Roman" w:hAnsi="Times New Roman"/>
                <w:b w:val="0"/>
                <w:i w:val="0"/>
                <w:sz w:val="24"/>
                <w:szCs w:val="24"/>
              </w:rPr>
            </w:pPr>
            <w:r>
              <w:rPr>
                <w:rFonts w:ascii="Times New Roman" w:hAnsi="Times New Roman"/>
                <w:b w:val="0"/>
                <w:i w:val="0"/>
                <w:sz w:val="24"/>
                <w:szCs w:val="24"/>
              </w:rPr>
              <w:t xml:space="preserve"> </w:t>
            </w:r>
            <w:bookmarkStart w:id="0" w:name="_Toc476295869"/>
            <w:r>
              <w:rPr>
                <w:rFonts w:ascii="Times New Roman" w:hAnsi="Times New Roman"/>
                <w:b w:val="0"/>
                <w:i w:val="0"/>
                <w:sz w:val="24"/>
                <w:szCs w:val="24"/>
              </w:rPr>
              <w:t>Kiegészítő közbeszerzési dokumentum</w:t>
            </w:r>
            <w:r w:rsidRPr="00571548">
              <w:rPr>
                <w:rFonts w:ascii="Times New Roman" w:hAnsi="Times New Roman"/>
                <w:b w:val="0"/>
                <w:i w:val="0"/>
                <w:sz w:val="24"/>
                <w:szCs w:val="24"/>
              </w:rPr>
              <w:t xml:space="preserve"> 1. sz. melléklet</w:t>
            </w:r>
            <w:bookmarkEnd w:id="0"/>
          </w:p>
          <w:p w:rsidR="00503DEE" w:rsidRDefault="00503DEE" w:rsidP="006408F7">
            <w:pPr>
              <w:suppressAutoHyphens/>
              <w:rPr>
                <w:b/>
                <w:sz w:val="28"/>
                <w:szCs w:val="28"/>
              </w:rPr>
            </w:pPr>
          </w:p>
          <w:p w:rsidR="00503DEE" w:rsidRPr="00571548" w:rsidRDefault="00503DEE" w:rsidP="006408F7">
            <w:pPr>
              <w:pStyle w:val="Cmsor2"/>
              <w:spacing w:before="0" w:after="0"/>
              <w:jc w:val="center"/>
              <w:rPr>
                <w:rFonts w:ascii="Times New Roman" w:hAnsi="Times New Roman"/>
                <w:i w:val="0"/>
              </w:rPr>
            </w:pPr>
            <w:bookmarkStart w:id="1" w:name="_Toc476295870"/>
            <w:r w:rsidRPr="00571548">
              <w:rPr>
                <w:rFonts w:ascii="Times New Roman" w:hAnsi="Times New Roman"/>
                <w:i w:val="0"/>
              </w:rPr>
              <w:t>FELOLVASÓLAP</w:t>
            </w:r>
            <w:bookmarkEnd w:id="1"/>
          </w:p>
          <w:p w:rsidR="00503DEE" w:rsidRDefault="00503DEE" w:rsidP="006408F7">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503DEE" w:rsidRPr="000A1443" w:rsidTr="006408F7">
              <w:tc>
                <w:tcPr>
                  <w:tcW w:w="3652" w:type="dxa"/>
                </w:tcPr>
                <w:p w:rsidR="00503DEE" w:rsidRPr="000A1443" w:rsidRDefault="00503DEE" w:rsidP="006408F7">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503DEE" w:rsidRPr="000A1443" w:rsidRDefault="00503DEE" w:rsidP="006408F7">
                  <w:pPr>
                    <w:spacing w:before="60" w:after="60" w:line="280" w:lineRule="exact"/>
                  </w:pPr>
                </w:p>
              </w:tc>
            </w:tr>
            <w:tr w:rsidR="00503DEE" w:rsidRPr="000A1443" w:rsidTr="006408F7">
              <w:trPr>
                <w:trHeight w:val="413"/>
              </w:trPr>
              <w:tc>
                <w:tcPr>
                  <w:tcW w:w="3652" w:type="dxa"/>
                </w:tcPr>
                <w:p w:rsidR="00503DEE" w:rsidRPr="000A1443" w:rsidRDefault="00503DEE" w:rsidP="006408F7">
                  <w:pPr>
                    <w:spacing w:before="60" w:after="60" w:line="260" w:lineRule="exact"/>
                  </w:pPr>
                  <w:r>
                    <w:tab/>
                  </w:r>
                  <w:r w:rsidRPr="000A1443">
                    <w:t>Kapcsolattartó neve:</w:t>
                  </w:r>
                </w:p>
              </w:tc>
              <w:tc>
                <w:tcPr>
                  <w:tcW w:w="5456" w:type="dxa"/>
                </w:tcPr>
                <w:p w:rsidR="00503DEE" w:rsidRPr="000A1443" w:rsidRDefault="00503DEE" w:rsidP="006408F7">
                  <w:pPr>
                    <w:spacing w:before="60" w:after="60" w:line="280" w:lineRule="exact"/>
                  </w:pPr>
                </w:p>
              </w:tc>
            </w:tr>
            <w:tr w:rsidR="00503DEE" w:rsidRPr="000A1443" w:rsidTr="006408F7">
              <w:tc>
                <w:tcPr>
                  <w:tcW w:w="3652" w:type="dxa"/>
                </w:tcPr>
                <w:p w:rsidR="00503DEE" w:rsidRPr="000A1443" w:rsidRDefault="00503DEE" w:rsidP="006408F7">
                  <w:pPr>
                    <w:spacing w:before="60" w:after="60" w:line="260" w:lineRule="exact"/>
                  </w:pPr>
                  <w:r>
                    <w:tab/>
                  </w:r>
                  <w:r w:rsidRPr="000A1443">
                    <w:t>Ajánlattevő címe:</w:t>
                  </w:r>
                </w:p>
              </w:tc>
              <w:tc>
                <w:tcPr>
                  <w:tcW w:w="5456" w:type="dxa"/>
                </w:tcPr>
                <w:p w:rsidR="00503DEE" w:rsidRPr="000A1443" w:rsidRDefault="00503DEE" w:rsidP="006408F7">
                  <w:pPr>
                    <w:spacing w:before="60" w:after="60" w:line="280" w:lineRule="exact"/>
                  </w:pPr>
                </w:p>
              </w:tc>
            </w:tr>
            <w:tr w:rsidR="00503DEE" w:rsidRPr="000A1443" w:rsidTr="006408F7">
              <w:tc>
                <w:tcPr>
                  <w:tcW w:w="3652" w:type="dxa"/>
                </w:tcPr>
                <w:p w:rsidR="00503DEE" w:rsidRPr="000A1443" w:rsidRDefault="00503DEE" w:rsidP="006408F7">
                  <w:pPr>
                    <w:spacing w:before="60" w:after="60" w:line="260" w:lineRule="exact"/>
                  </w:pPr>
                  <w:r>
                    <w:tab/>
                  </w:r>
                  <w:r w:rsidRPr="000A1443">
                    <w:t>Ajánlattevő telefonszáma:</w:t>
                  </w:r>
                </w:p>
              </w:tc>
              <w:tc>
                <w:tcPr>
                  <w:tcW w:w="5456" w:type="dxa"/>
                </w:tcPr>
                <w:p w:rsidR="00503DEE" w:rsidRPr="000A1443" w:rsidRDefault="00503DEE" w:rsidP="006408F7">
                  <w:pPr>
                    <w:spacing w:before="60" w:after="60" w:line="280" w:lineRule="exact"/>
                  </w:pPr>
                </w:p>
              </w:tc>
            </w:tr>
            <w:tr w:rsidR="00503DEE" w:rsidRPr="000A1443" w:rsidTr="006408F7">
              <w:tc>
                <w:tcPr>
                  <w:tcW w:w="3652" w:type="dxa"/>
                </w:tcPr>
                <w:p w:rsidR="00503DEE" w:rsidRPr="000A1443" w:rsidRDefault="00503DEE" w:rsidP="006408F7">
                  <w:pPr>
                    <w:spacing w:before="60" w:after="120" w:line="260" w:lineRule="exact"/>
                  </w:pPr>
                  <w:r>
                    <w:tab/>
                  </w:r>
                  <w:r w:rsidRPr="000A1443">
                    <w:t>Ajánlattevő telefaxszáma:</w:t>
                  </w:r>
                </w:p>
              </w:tc>
              <w:tc>
                <w:tcPr>
                  <w:tcW w:w="5456" w:type="dxa"/>
                </w:tcPr>
                <w:p w:rsidR="00503DEE" w:rsidRPr="000A1443" w:rsidRDefault="00503DEE" w:rsidP="006408F7">
                  <w:pPr>
                    <w:spacing w:line="280" w:lineRule="exact"/>
                  </w:pPr>
                </w:p>
              </w:tc>
            </w:tr>
            <w:tr w:rsidR="00503DEE" w:rsidRPr="000A1443" w:rsidTr="006408F7">
              <w:tc>
                <w:tcPr>
                  <w:tcW w:w="3652" w:type="dxa"/>
                </w:tcPr>
                <w:p w:rsidR="00503DEE" w:rsidRDefault="00503DEE" w:rsidP="006408F7">
                  <w:pPr>
                    <w:spacing w:before="60"/>
                  </w:pPr>
                  <w:r>
                    <w:tab/>
                  </w:r>
                  <w:r w:rsidRPr="000A1443">
                    <w:t>Ajánlattevő e-mail címe:</w:t>
                  </w:r>
                </w:p>
              </w:tc>
              <w:tc>
                <w:tcPr>
                  <w:tcW w:w="5456" w:type="dxa"/>
                </w:tcPr>
                <w:p w:rsidR="00503DEE" w:rsidRPr="000A1443" w:rsidRDefault="00503DEE" w:rsidP="006408F7">
                  <w:pPr>
                    <w:spacing w:line="280" w:lineRule="exact"/>
                  </w:pPr>
                </w:p>
              </w:tc>
            </w:tr>
          </w:tbl>
          <w:p w:rsidR="00503DEE" w:rsidRDefault="00503DEE" w:rsidP="006408F7">
            <w:pPr>
              <w:jc w:val="both"/>
              <w:rPr>
                <w:b/>
              </w:rPr>
            </w:pPr>
          </w:p>
          <w:p w:rsidR="00503DEE" w:rsidRDefault="00503DEE" w:rsidP="006408F7">
            <w:pPr>
              <w:spacing w:after="120"/>
              <w:rPr>
                <w:rFonts w:eastAsia="Calibri"/>
                <w:bCs/>
                <w:i/>
                <w:snapToGrid w:val="0"/>
                <w:lang w:eastAsia="en-US"/>
              </w:rPr>
            </w:pPr>
            <w:r>
              <w:rPr>
                <w:b/>
              </w:rPr>
              <w:t xml:space="preserve">2. </w:t>
            </w:r>
            <w:r w:rsidRPr="000A1443">
              <w:rPr>
                <w:b/>
              </w:rPr>
              <w:t>Az ajánlat tárgya:</w:t>
            </w:r>
            <w:r w:rsidRPr="001358A0">
              <w:t xml:space="preserve"> </w:t>
            </w:r>
          </w:p>
          <w:p w:rsidR="00503DEE" w:rsidRDefault="00503DEE" w:rsidP="006408F7">
            <w:pPr>
              <w:spacing w:after="120"/>
            </w:pPr>
            <w:r>
              <w:t>„</w:t>
            </w:r>
            <w:r w:rsidRPr="0055135A">
              <w:rPr>
                <w:bCs/>
              </w:rPr>
              <w:t>2 db AS-350B típusú helikopter 144 havi karbantartása (nagyjavítás)</w:t>
            </w:r>
            <w:r>
              <w:t>”</w:t>
            </w:r>
          </w:p>
          <w:p w:rsidR="00503DEE" w:rsidRPr="00FB54EF" w:rsidRDefault="00503DEE" w:rsidP="00503DEE">
            <w:pPr>
              <w:pStyle w:val="Listaszerbekezds"/>
              <w:numPr>
                <w:ilvl w:val="0"/>
                <w:numId w:val="1"/>
              </w:numPr>
              <w:spacing w:after="120"/>
              <w:rPr>
                <w:b/>
              </w:rPr>
            </w:pPr>
            <w:r w:rsidRPr="00FB54EF">
              <w:rPr>
                <w:b/>
              </w:rPr>
              <w:t>rés</w:t>
            </w:r>
            <w:r>
              <w:rPr>
                <w:b/>
              </w:rPr>
              <w:t>z</w:t>
            </w:r>
            <w:r w:rsidRPr="00FB54EF">
              <w:rPr>
                <w:b/>
              </w:rPr>
              <w:t>szempont: Ajánlati ár (HUF)</w:t>
            </w:r>
          </w:p>
          <w:tbl>
            <w:tblPr>
              <w:tblStyle w:val="Rcsostblzat"/>
              <w:tblW w:w="9209" w:type="dxa"/>
              <w:tblLayout w:type="fixed"/>
              <w:tblLook w:val="04A0" w:firstRow="1" w:lastRow="0" w:firstColumn="1" w:lastColumn="0" w:noHBand="0" w:noVBand="1"/>
            </w:tblPr>
            <w:tblGrid>
              <w:gridCol w:w="634"/>
              <w:gridCol w:w="4606"/>
              <w:gridCol w:w="1985"/>
              <w:gridCol w:w="1984"/>
            </w:tblGrid>
            <w:tr w:rsidR="00503DEE" w:rsidTr="006408F7">
              <w:trPr>
                <w:tblHeader/>
              </w:trPr>
              <w:tc>
                <w:tcPr>
                  <w:tcW w:w="634" w:type="dxa"/>
                </w:tcPr>
                <w:p w:rsidR="00503DEE" w:rsidRDefault="00503DEE" w:rsidP="006408F7">
                  <w:pPr>
                    <w:spacing w:after="120"/>
                    <w:rPr>
                      <w:b/>
                    </w:rPr>
                  </w:pPr>
                  <w:r>
                    <w:rPr>
                      <w:b/>
                    </w:rPr>
                    <w:t>Fsz.</w:t>
                  </w:r>
                </w:p>
              </w:tc>
              <w:tc>
                <w:tcPr>
                  <w:tcW w:w="4606" w:type="dxa"/>
                  <w:vAlign w:val="center"/>
                </w:tcPr>
                <w:p w:rsidR="00503DEE" w:rsidRPr="0050276F" w:rsidRDefault="00503DEE" w:rsidP="006408F7">
                  <w:pPr>
                    <w:pStyle w:val="Listaszerbekezds"/>
                    <w:ind w:left="0"/>
                    <w:contextualSpacing w:val="0"/>
                    <w:jc w:val="center"/>
                  </w:pPr>
                  <w:r w:rsidRPr="0050276F">
                    <w:t>Megnevezés</w:t>
                  </w:r>
                </w:p>
              </w:tc>
              <w:tc>
                <w:tcPr>
                  <w:tcW w:w="1985" w:type="dxa"/>
                </w:tcPr>
                <w:p w:rsidR="00503DEE" w:rsidRPr="0017402B" w:rsidRDefault="00503DEE" w:rsidP="006408F7">
                  <w:pPr>
                    <w:pStyle w:val="Listaszerbekezds"/>
                    <w:ind w:left="-108"/>
                    <w:contextualSpacing w:val="0"/>
                    <w:jc w:val="center"/>
                  </w:pPr>
                  <w:r w:rsidRPr="0017402B">
                    <w:t>Bruttó egységár</w:t>
                  </w:r>
                  <w:r>
                    <w:t>, HUF</w:t>
                  </w:r>
                </w:p>
              </w:tc>
              <w:tc>
                <w:tcPr>
                  <w:tcW w:w="1984" w:type="dxa"/>
                </w:tcPr>
                <w:p w:rsidR="00503DEE" w:rsidRPr="0017402B" w:rsidRDefault="00503DEE" w:rsidP="006408F7">
                  <w:pPr>
                    <w:pStyle w:val="Listaszerbekezds"/>
                    <w:ind w:left="0"/>
                    <w:contextualSpacing w:val="0"/>
                    <w:jc w:val="center"/>
                  </w:pPr>
                  <w:r w:rsidRPr="0017402B">
                    <w:t>Bruttó összár</w:t>
                  </w:r>
                  <w:r>
                    <w:t>, HUF</w:t>
                  </w:r>
                </w:p>
              </w:tc>
            </w:tr>
            <w:tr w:rsidR="00503DEE" w:rsidTr="006408F7">
              <w:tc>
                <w:tcPr>
                  <w:tcW w:w="634" w:type="dxa"/>
                </w:tcPr>
                <w:p w:rsidR="00503DEE" w:rsidRDefault="00503DEE" w:rsidP="006408F7">
                  <w:pPr>
                    <w:spacing w:after="120"/>
                    <w:rPr>
                      <w:b/>
                    </w:rPr>
                  </w:pPr>
                  <w:r>
                    <w:rPr>
                      <w:b/>
                    </w:rPr>
                    <w:t>1.</w:t>
                  </w:r>
                </w:p>
              </w:tc>
              <w:tc>
                <w:tcPr>
                  <w:tcW w:w="4606" w:type="dxa"/>
                </w:tcPr>
                <w:p w:rsidR="00503DEE" w:rsidRDefault="00503DEE" w:rsidP="006408F7">
                  <w:pPr>
                    <w:pStyle w:val="Listaszerbekezds"/>
                    <w:ind w:left="0"/>
                    <w:contextualSpacing w:val="0"/>
                    <w:jc w:val="both"/>
                    <w:rPr>
                      <w:b/>
                      <w:u w:val="single"/>
                    </w:rPr>
                  </w:pPr>
                  <w:r>
                    <w:t xml:space="preserve">2607 gyári számú </w:t>
                  </w:r>
                  <w:r w:rsidRPr="0055135A">
                    <w:rPr>
                      <w:rFonts w:eastAsia="Calibri"/>
                      <w:bCs/>
                    </w:rPr>
                    <w:t>AS-350B típusú helikopter 144 havi karbantartása (nagyjavítás</w:t>
                  </w:r>
                  <w:r>
                    <w:rPr>
                      <w:rFonts w:eastAsia="Calibri"/>
                      <w:bCs/>
                    </w:rPr>
                    <w:t>)</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Default="00503DEE" w:rsidP="006408F7">
                  <w:pPr>
                    <w:spacing w:after="120"/>
                    <w:rPr>
                      <w:b/>
                    </w:rPr>
                  </w:pPr>
                  <w:r>
                    <w:rPr>
                      <w:b/>
                    </w:rPr>
                    <w:t>2.</w:t>
                  </w:r>
                </w:p>
              </w:tc>
              <w:tc>
                <w:tcPr>
                  <w:tcW w:w="4606" w:type="dxa"/>
                </w:tcPr>
                <w:p w:rsidR="00503DEE" w:rsidRDefault="00503DEE" w:rsidP="006408F7">
                  <w:pPr>
                    <w:pStyle w:val="Listaszerbekezds"/>
                    <w:ind w:left="0"/>
                    <w:contextualSpacing w:val="0"/>
                    <w:jc w:val="both"/>
                    <w:rPr>
                      <w:b/>
                      <w:u w:val="single"/>
                    </w:rPr>
                  </w:pPr>
                  <w:r>
                    <w:t xml:space="preserve">2472 gyári számú </w:t>
                  </w:r>
                  <w:r w:rsidRPr="0055135A">
                    <w:rPr>
                      <w:rFonts w:eastAsia="Calibri"/>
                      <w:bCs/>
                    </w:rPr>
                    <w:t>AS-350B típusú helikopter 144 havi karbantartása (nagyjavítás</w:t>
                  </w:r>
                  <w:r>
                    <w:rPr>
                      <w:rFonts w:eastAsia="Calibri"/>
                      <w:bCs/>
                    </w:rPr>
                    <w:t>)</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3.</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helikopterek </w:t>
                  </w:r>
                  <w:r>
                    <w:rPr>
                      <w:rFonts w:eastAsia="Calibri"/>
                      <w:bCs/>
                    </w:rPr>
                    <w:t>belső, illetve műszer világításának átalakítás</w:t>
                  </w:r>
                  <w:r w:rsidRPr="00F2775D">
                    <w:rPr>
                      <w:rFonts w:eastAsia="Calibri"/>
                      <w:bCs/>
                    </w:rPr>
                    <w:t xml:space="preserve">a a </w:t>
                  </w:r>
                  <w:proofErr w:type="gramStart"/>
                  <w:r w:rsidRPr="00F2775D">
                    <w:rPr>
                      <w:rFonts w:eastAsia="Calibri"/>
                      <w:bCs/>
                    </w:rPr>
                    <w:t>meglévő</w:t>
                  </w:r>
                  <w:proofErr w:type="gramEnd"/>
                  <w:r w:rsidRPr="00F2775D">
                    <w:rPr>
                      <w:rFonts w:eastAsia="Calibri"/>
                      <w:bCs/>
                    </w:rPr>
                    <w:t xml:space="preserve"> AN/AVS-9 típusú, vagy ezekkel egyenértékű éjjellátó készülék (NVG) eszköz használatához, beleértve az önálló belső megvilágítással rendelkező berendezések cseréjét (pl. InterCom); </w:t>
                  </w:r>
                  <w:r>
                    <w:rPr>
                      <w:rFonts w:eastAsia="Calibri"/>
                      <w:bCs/>
                    </w:rPr>
                    <w:t>(Műszaki leírás „Opcionális követelmények” pont 1.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4.</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karbantartás végrehajtása során a rádió berendezések</w:t>
                  </w:r>
                  <w:r>
                    <w:rPr>
                      <w:rFonts w:eastAsia="Calibri"/>
                      <w:bCs/>
                    </w:rPr>
                    <w:t xml:space="preserve"> lecserélése</w:t>
                  </w:r>
                  <w:r w:rsidRPr="00F2775D">
                    <w:rPr>
                      <w:rFonts w:eastAsia="Calibri"/>
                      <w:bCs/>
                    </w:rPr>
                    <w:t xml:space="preserve"> „8,33 kHz osztású” típusokra, melyek VHF sávú kommunikációt egyaránt biztosítanak; (Akár integrált rendszer részeként is)</w:t>
                  </w:r>
                  <w:r>
                    <w:rPr>
                      <w:rFonts w:eastAsia="Calibri"/>
                      <w:bCs/>
                    </w:rPr>
                    <w:t xml:space="preserve"> (Műszaki leírás „Opcionális követelmények” pont 2.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5.</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karbantartás végrehajtása </w:t>
                  </w:r>
                  <w:proofErr w:type="gramStart"/>
                  <w:r w:rsidRPr="00F2775D">
                    <w:rPr>
                      <w:rFonts w:eastAsia="Calibri"/>
                      <w:bCs/>
                    </w:rPr>
                    <w:t>során</w:t>
                  </w:r>
                  <w:proofErr w:type="gramEnd"/>
                  <w:r w:rsidRPr="00F2775D">
                    <w:rPr>
                      <w:rFonts w:eastAsia="Calibri"/>
                      <w:bCs/>
                    </w:rPr>
                    <w:t xml:space="preserve"> a helikoptereken UHF sávú kommunikációt biztosító rádió berendezés</w:t>
                  </w:r>
                  <w:r>
                    <w:rPr>
                      <w:rFonts w:eastAsia="Calibri"/>
                      <w:bCs/>
                    </w:rPr>
                    <w:t xml:space="preserve"> beépítése</w:t>
                  </w:r>
                  <w:r w:rsidRPr="00F2775D">
                    <w:rPr>
                      <w:rFonts w:eastAsia="Calibri"/>
                      <w:bCs/>
                    </w:rPr>
                    <w:t xml:space="preserve"> (Akár integrált rendszer részeként is);</w:t>
                  </w:r>
                  <w:r>
                    <w:rPr>
                      <w:rFonts w:eastAsia="Calibri"/>
                      <w:bCs/>
                    </w:rPr>
                    <w:t xml:space="preserve"> (Műszaki leírás „Opcionális követelmények” pont 3.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6.</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karbantartás végrehajtása </w:t>
                  </w:r>
                  <w:proofErr w:type="gramStart"/>
                  <w:r w:rsidRPr="00F2775D">
                    <w:rPr>
                      <w:rFonts w:eastAsia="Calibri"/>
                      <w:bCs/>
                    </w:rPr>
                    <w:t>során</w:t>
                  </w:r>
                  <w:proofErr w:type="gramEnd"/>
                  <w:r w:rsidRPr="00F2775D">
                    <w:rPr>
                      <w:rFonts w:eastAsia="Calibri"/>
                      <w:bCs/>
                    </w:rPr>
                    <w:t xml:space="preserve"> a helikoptereken a </w:t>
                  </w:r>
                  <w:proofErr w:type="spellStart"/>
                  <w:r w:rsidRPr="00F2775D">
                    <w:rPr>
                      <w:rFonts w:eastAsia="Calibri"/>
                      <w:bCs/>
                    </w:rPr>
                    <w:t>transzponderek</w:t>
                  </w:r>
                  <w:proofErr w:type="spellEnd"/>
                  <w:r w:rsidRPr="00F2775D">
                    <w:rPr>
                      <w:rFonts w:eastAsia="Calibri"/>
                      <w:bCs/>
                    </w:rPr>
                    <w:t xml:space="preserve"> </w:t>
                  </w:r>
                  <w:r>
                    <w:rPr>
                      <w:rFonts w:eastAsia="Calibri"/>
                      <w:bCs/>
                    </w:rPr>
                    <w:t xml:space="preserve">lecserélése </w:t>
                  </w:r>
                  <w:r w:rsidRPr="00F2775D">
                    <w:rPr>
                      <w:rFonts w:eastAsia="Calibri"/>
                      <w:bCs/>
                    </w:rPr>
                    <w:t>„S módú” típusokra; (Akár integrált rendszer részeként is)</w:t>
                  </w:r>
                  <w:r>
                    <w:rPr>
                      <w:rFonts w:eastAsia="Calibri"/>
                      <w:bCs/>
                    </w:rPr>
                    <w:t xml:space="preserve"> (Műszaki leírás „Opcionális követelmények” pont 4.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7.</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karbantartás végrehajtása </w:t>
                  </w:r>
                  <w:proofErr w:type="gramStart"/>
                  <w:r w:rsidRPr="00F2775D">
                    <w:rPr>
                      <w:rFonts w:eastAsia="Calibri"/>
                      <w:bCs/>
                    </w:rPr>
                    <w:t>során</w:t>
                  </w:r>
                  <w:proofErr w:type="gramEnd"/>
                  <w:r w:rsidRPr="00F2775D">
                    <w:rPr>
                      <w:rFonts w:eastAsia="Calibri"/>
                      <w:bCs/>
                    </w:rPr>
                    <w:t xml:space="preserve"> a helikoptereken a navigációs berendezések</w:t>
                  </w:r>
                  <w:r>
                    <w:rPr>
                      <w:rFonts w:eastAsia="Calibri"/>
                      <w:bCs/>
                    </w:rPr>
                    <w:t xml:space="preserve"> modernizálása</w:t>
                  </w:r>
                  <w:r w:rsidRPr="00F2775D">
                    <w:rPr>
                      <w:rFonts w:eastAsia="Calibri"/>
                      <w:bCs/>
                    </w:rPr>
                    <w:t>, GPS alapú navigációs képesség kialakításával; (Akár integrált rendszer részeként is)</w:t>
                  </w:r>
                  <w:r>
                    <w:t xml:space="preserve"> </w:t>
                  </w:r>
                  <w:r w:rsidRPr="00167339">
                    <w:rPr>
                      <w:rFonts w:eastAsia="Calibri"/>
                      <w:bCs/>
                    </w:rPr>
                    <w:t xml:space="preserve">(Műszaki leírás „Opcionális követelmények” pont </w:t>
                  </w:r>
                  <w:r>
                    <w:rPr>
                      <w:rFonts w:eastAsia="Calibri"/>
                      <w:bCs/>
                    </w:rPr>
                    <w:t>5</w:t>
                  </w:r>
                  <w:r w:rsidRPr="00167339">
                    <w:rPr>
                      <w:rFonts w:eastAsia="Calibri"/>
                      <w:bCs/>
                    </w:rPr>
                    <w:t>.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8.</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karbantartás végrehajtása </w:t>
                  </w:r>
                  <w:proofErr w:type="gramStart"/>
                  <w:r w:rsidRPr="00F2775D">
                    <w:rPr>
                      <w:rFonts w:eastAsia="Calibri"/>
                      <w:bCs/>
                    </w:rPr>
                    <w:t>során</w:t>
                  </w:r>
                  <w:proofErr w:type="gramEnd"/>
                  <w:r w:rsidRPr="00F2775D">
                    <w:rPr>
                      <w:rFonts w:eastAsia="Calibri"/>
                      <w:bCs/>
                    </w:rPr>
                    <w:t xml:space="preserve"> a helikoptereken a jelenlegi rádió magasságmérők </w:t>
                  </w:r>
                  <w:r>
                    <w:rPr>
                      <w:rFonts w:eastAsia="Calibri"/>
                      <w:bCs/>
                    </w:rPr>
                    <w:t xml:space="preserve">lecserélése </w:t>
                  </w:r>
                  <w:r w:rsidRPr="00F2775D">
                    <w:rPr>
                      <w:rFonts w:eastAsia="Calibri"/>
                      <w:bCs/>
                    </w:rPr>
                    <w:t xml:space="preserve">új </w:t>
                  </w:r>
                  <w:r>
                    <w:rPr>
                      <w:rFonts w:eastAsia="Calibri"/>
                      <w:bCs/>
                    </w:rPr>
                    <w:t xml:space="preserve">gyártású eszközökkel </w:t>
                  </w:r>
                  <w:r w:rsidRPr="00F2775D">
                    <w:rPr>
                      <w:rFonts w:eastAsia="Calibri"/>
                      <w:bCs/>
                    </w:rPr>
                    <w:t>(a jelenlegitől eltérő típus elfogadható);</w:t>
                  </w:r>
                  <w:r>
                    <w:rPr>
                      <w:rFonts w:eastAsia="Calibri"/>
                      <w:bCs/>
                    </w:rPr>
                    <w:t xml:space="preserve"> </w:t>
                  </w:r>
                  <w:r w:rsidRPr="00167339">
                    <w:rPr>
                      <w:rFonts w:eastAsia="Calibri"/>
                      <w:bCs/>
                    </w:rPr>
                    <w:t xml:space="preserve">(Műszaki leírás „Opcionális követelmények” pont </w:t>
                  </w:r>
                  <w:r>
                    <w:rPr>
                      <w:rFonts w:eastAsia="Calibri"/>
                      <w:bCs/>
                    </w:rPr>
                    <w:t>6</w:t>
                  </w:r>
                  <w:r w:rsidRPr="00167339">
                    <w:rPr>
                      <w:rFonts w:eastAsia="Calibri"/>
                      <w:bCs/>
                    </w:rPr>
                    <w:t>.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9.</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karbantartás végrehajtása </w:t>
                  </w:r>
                  <w:proofErr w:type="gramStart"/>
                  <w:r w:rsidRPr="00F2775D">
                    <w:rPr>
                      <w:rFonts w:eastAsia="Calibri"/>
                      <w:bCs/>
                    </w:rPr>
                    <w:t>során</w:t>
                  </w:r>
                  <w:proofErr w:type="gramEnd"/>
                  <w:r w:rsidRPr="00F2775D">
                    <w:rPr>
                      <w:rFonts w:eastAsia="Calibri"/>
                      <w:bCs/>
                    </w:rPr>
                    <w:t xml:space="preserve"> a helikoptereken a jelenlegi műhorizontok</w:t>
                  </w:r>
                  <w:r>
                    <w:rPr>
                      <w:rFonts w:eastAsia="Calibri"/>
                      <w:bCs/>
                    </w:rPr>
                    <w:t xml:space="preserve"> lecserélése </w:t>
                  </w:r>
                  <w:r w:rsidRPr="00F2775D">
                    <w:rPr>
                      <w:rFonts w:eastAsia="Calibri"/>
                      <w:bCs/>
                    </w:rPr>
                    <w:t>új gyártású eszközökkel (a jelenlegitől eltérő típus elfogadható);</w:t>
                  </w:r>
                  <w:r>
                    <w:rPr>
                      <w:rFonts w:eastAsia="Calibri"/>
                      <w:bCs/>
                    </w:rPr>
                    <w:t xml:space="preserve"> (Műszaki leírás „Opcionális követelmények” pont 7.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10.</w:t>
                  </w:r>
                </w:p>
              </w:tc>
              <w:tc>
                <w:tcPr>
                  <w:tcW w:w="4606" w:type="dxa"/>
                </w:tcPr>
                <w:p w:rsidR="00503DEE" w:rsidRPr="00F2775D" w:rsidRDefault="00503DEE" w:rsidP="006408F7">
                  <w:pPr>
                    <w:pStyle w:val="Listaszerbekezds"/>
                    <w:ind w:left="0"/>
                    <w:contextualSpacing w:val="0"/>
                    <w:jc w:val="both"/>
                    <w:rPr>
                      <w:rFonts w:eastAsia="Calibri"/>
                      <w:bCs/>
                    </w:rPr>
                  </w:pPr>
                  <w:r w:rsidRPr="00F2775D">
                    <w:rPr>
                      <w:rFonts w:eastAsia="Calibri"/>
                      <w:bCs/>
                    </w:rPr>
                    <w:t xml:space="preserve">Nyertes Ajánlattevő vállalja, hogy beépítésre kerül másodlagos („stand </w:t>
                  </w:r>
                  <w:proofErr w:type="spellStart"/>
                  <w:r w:rsidRPr="00F2775D">
                    <w:rPr>
                      <w:rFonts w:eastAsia="Calibri"/>
                      <w:bCs/>
                    </w:rPr>
                    <w:t>by</w:t>
                  </w:r>
                  <w:proofErr w:type="spellEnd"/>
                  <w:r w:rsidRPr="00F2775D">
                    <w:rPr>
                      <w:rFonts w:eastAsia="Calibri"/>
                      <w:bCs/>
                    </w:rPr>
                    <w:t>” jellegű) műhorizont;</w:t>
                  </w:r>
                  <w:r>
                    <w:rPr>
                      <w:rFonts w:eastAsia="Calibri"/>
                      <w:bCs/>
                    </w:rPr>
                    <w:t xml:space="preserve"> (Műszaki leírás „Opcionális követelmények” pont 8.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r w:rsidRPr="00167339">
                    <w:rPr>
                      <w:rFonts w:eastAsia="Calibri"/>
                      <w:b/>
                      <w:bCs/>
                    </w:rPr>
                    <w:t>11.</w:t>
                  </w:r>
                </w:p>
              </w:tc>
              <w:tc>
                <w:tcPr>
                  <w:tcW w:w="4606" w:type="dxa"/>
                </w:tcPr>
                <w:p w:rsidR="00503DEE" w:rsidRPr="00F2775D" w:rsidRDefault="00503DEE" w:rsidP="006408F7">
                  <w:pPr>
                    <w:pStyle w:val="Listaszerbekezds"/>
                    <w:ind w:left="0"/>
                    <w:contextualSpacing w:val="0"/>
                    <w:jc w:val="both"/>
                    <w:rPr>
                      <w:rFonts w:eastAsia="Calibri"/>
                      <w:bCs/>
                    </w:rPr>
                  </w:pPr>
                  <w:r>
                    <w:rPr>
                      <w:rFonts w:eastAsia="Calibri"/>
                      <w:bCs/>
                    </w:rPr>
                    <w:t>A</w:t>
                  </w:r>
                  <w:r w:rsidRPr="00F2775D">
                    <w:rPr>
                      <w:rFonts w:eastAsia="Calibri"/>
                      <w:bCs/>
                    </w:rPr>
                    <w:t xml:space="preserve"> helikoptereken végrehajtásra kerülő karbantartás során ILS navigációt alkalmassá tevő berendezéseket</w:t>
                  </w:r>
                  <w:r>
                    <w:rPr>
                      <w:rFonts w:eastAsia="Calibri"/>
                      <w:bCs/>
                    </w:rPr>
                    <w:t xml:space="preserve"> beépítése</w:t>
                  </w:r>
                  <w:r w:rsidRPr="00F2775D">
                    <w:rPr>
                      <w:rFonts w:eastAsia="Calibri"/>
                      <w:bCs/>
                    </w:rPr>
                    <w:t>; (Akár integrált rendszer részeként is)</w:t>
                  </w:r>
                  <w:r>
                    <w:rPr>
                      <w:rFonts w:eastAsia="Calibri"/>
                      <w:bCs/>
                    </w:rPr>
                    <w:t xml:space="preserve"> (Műszaki leírás „Opcionális követelmények” pont 9.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p>
              </w:tc>
              <w:tc>
                <w:tcPr>
                  <w:tcW w:w="4606" w:type="dxa"/>
                </w:tcPr>
                <w:p w:rsidR="00503DEE" w:rsidRDefault="00503DEE" w:rsidP="006408F7">
                  <w:pPr>
                    <w:pStyle w:val="Listaszerbekezds"/>
                    <w:ind w:left="0"/>
                    <w:contextualSpacing w:val="0"/>
                    <w:jc w:val="both"/>
                    <w:rPr>
                      <w:rFonts w:eastAsia="Calibri"/>
                      <w:bCs/>
                    </w:rPr>
                  </w:pPr>
                  <w:r w:rsidRPr="00C458A6">
                    <w:rPr>
                      <w:rFonts w:eastAsia="Calibri"/>
                      <w:bCs/>
                    </w:rPr>
                    <w:t xml:space="preserve">A karbantartás foglalja magába a helikopterekre felépített ARRIEL 1B típusú hajtóművek (gyári számok: 4427 és 4356) teljes körű nagyjavítását (melyet követően a hajtómű következő nagyjavításig illetve modul vagy részegység cseréig hátralévő üzemideje legalább 3000 óra illetve 12 év) a szükséges alkatrész cserékkel, modul nagyjavítással vagy modulcserével, vagy a teljes hajtómű cseréjével; </w:t>
                  </w:r>
                  <w:r w:rsidRPr="00167339">
                    <w:rPr>
                      <w:rFonts w:eastAsia="Calibri"/>
                      <w:bCs/>
                    </w:rPr>
                    <w:t xml:space="preserve">Műszaki leírás „Opcionális követelmények” pont </w:t>
                  </w:r>
                  <w:r>
                    <w:rPr>
                      <w:rFonts w:eastAsia="Calibri"/>
                      <w:bCs/>
                    </w:rPr>
                    <w:t>10</w:t>
                  </w:r>
                  <w:r w:rsidRPr="00167339">
                    <w:rPr>
                      <w:rFonts w:eastAsia="Calibri"/>
                      <w:bCs/>
                    </w:rPr>
                    <w:t>.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634" w:type="dxa"/>
                </w:tcPr>
                <w:p w:rsidR="00503DEE" w:rsidRPr="00167339" w:rsidRDefault="00503DEE" w:rsidP="006408F7">
                  <w:pPr>
                    <w:pStyle w:val="Listaszerbekezds"/>
                    <w:ind w:left="0"/>
                    <w:contextualSpacing w:val="0"/>
                    <w:jc w:val="both"/>
                    <w:rPr>
                      <w:rFonts w:eastAsia="Calibri"/>
                      <w:b/>
                      <w:bCs/>
                    </w:rPr>
                  </w:pPr>
                </w:p>
              </w:tc>
              <w:tc>
                <w:tcPr>
                  <w:tcW w:w="4606" w:type="dxa"/>
                </w:tcPr>
                <w:p w:rsidR="00503DEE" w:rsidRDefault="00503DEE" w:rsidP="006408F7">
                  <w:pPr>
                    <w:pStyle w:val="Listaszerbekezds"/>
                    <w:ind w:left="0"/>
                    <w:contextualSpacing w:val="0"/>
                    <w:jc w:val="both"/>
                    <w:rPr>
                      <w:rFonts w:eastAsia="Calibri"/>
                      <w:bCs/>
                    </w:rPr>
                  </w:pPr>
                  <w:r w:rsidRPr="00C458A6">
                    <w:rPr>
                      <w:rFonts w:eastAsia="Calibri"/>
                      <w:bCs/>
                    </w:rPr>
                    <w:t>A helikopteren jelenleg alkalmazott ARRIEL 1B hajtóművek lecserélése és helyettük ARRIEL 1D1 típusú hajtóművek felépítése, a helikopter sárkányszerkezetének és rendszereinek szükség szerinti módosításával, az AIRBUS HELICOPTERS által kidolgozott vonatkozó Service Bulletinek alapján;</w:t>
                  </w:r>
                  <w:r>
                    <w:rPr>
                      <w:rFonts w:eastAsia="Calibri"/>
                      <w:bCs/>
                    </w:rPr>
                    <w:t xml:space="preserve"> (</w:t>
                  </w:r>
                  <w:r w:rsidRPr="00167339">
                    <w:rPr>
                      <w:rFonts w:eastAsia="Calibri"/>
                      <w:bCs/>
                    </w:rPr>
                    <w:t xml:space="preserve">Műszaki leírás „Opcionális követelmények” pont </w:t>
                  </w:r>
                  <w:r>
                    <w:rPr>
                      <w:rFonts w:eastAsia="Calibri"/>
                      <w:bCs/>
                    </w:rPr>
                    <w:t>11</w:t>
                  </w:r>
                  <w:r w:rsidRPr="00167339">
                    <w:rPr>
                      <w:rFonts w:eastAsia="Calibri"/>
                      <w:bCs/>
                    </w:rPr>
                    <w:t>. francia bekezdése)</w:t>
                  </w:r>
                </w:p>
              </w:tc>
              <w:tc>
                <w:tcPr>
                  <w:tcW w:w="1985" w:type="dxa"/>
                </w:tcPr>
                <w:p w:rsidR="00503DEE" w:rsidRDefault="00503DEE" w:rsidP="006408F7">
                  <w:pPr>
                    <w:spacing w:after="120"/>
                    <w:rPr>
                      <w:b/>
                    </w:rPr>
                  </w:pPr>
                </w:p>
              </w:tc>
              <w:tc>
                <w:tcPr>
                  <w:tcW w:w="1984" w:type="dxa"/>
                </w:tcPr>
                <w:p w:rsidR="00503DEE" w:rsidRDefault="00503DEE" w:rsidP="006408F7">
                  <w:pPr>
                    <w:spacing w:after="120"/>
                    <w:rPr>
                      <w:b/>
                    </w:rPr>
                  </w:pPr>
                </w:p>
              </w:tc>
            </w:tr>
            <w:tr w:rsidR="00503DEE" w:rsidTr="006408F7">
              <w:tc>
                <w:tcPr>
                  <w:tcW w:w="7225" w:type="dxa"/>
                  <w:gridSpan w:val="3"/>
                  <w:vAlign w:val="center"/>
                </w:tcPr>
                <w:p w:rsidR="00503DEE" w:rsidRDefault="00503DEE" w:rsidP="006408F7">
                  <w:pPr>
                    <w:spacing w:after="120"/>
                    <w:jc w:val="right"/>
                    <w:rPr>
                      <w:b/>
                    </w:rPr>
                  </w:pPr>
                  <w:r>
                    <w:rPr>
                      <w:rFonts w:eastAsia="Calibri"/>
                    </w:rPr>
                    <w:t>Mindösszesen (bruttó, HUF)</w:t>
                  </w:r>
                </w:p>
              </w:tc>
              <w:tc>
                <w:tcPr>
                  <w:tcW w:w="1984" w:type="dxa"/>
                </w:tcPr>
                <w:p w:rsidR="00503DEE" w:rsidRDefault="00503DEE" w:rsidP="006408F7">
                  <w:pPr>
                    <w:spacing w:after="120"/>
                    <w:rPr>
                      <w:b/>
                    </w:rPr>
                  </w:pPr>
                </w:p>
              </w:tc>
            </w:tr>
          </w:tbl>
          <w:p w:rsidR="00503DEE" w:rsidRPr="00141040" w:rsidRDefault="00503DEE" w:rsidP="006408F7">
            <w:pPr>
              <w:spacing w:after="120"/>
              <w:rPr>
                <w:b/>
              </w:rPr>
            </w:pPr>
          </w:p>
          <w:p w:rsidR="00503DEE" w:rsidRDefault="00503DEE" w:rsidP="00503DEE">
            <w:pPr>
              <w:pStyle w:val="Listaszerbekezds"/>
              <w:numPr>
                <w:ilvl w:val="0"/>
                <w:numId w:val="1"/>
              </w:numPr>
              <w:spacing w:after="120"/>
              <w:rPr>
                <w:b/>
              </w:rPr>
            </w:pPr>
            <w:r w:rsidRPr="00FB54EF">
              <w:rPr>
                <w:b/>
              </w:rPr>
              <w:t>rés</w:t>
            </w:r>
            <w:r>
              <w:rPr>
                <w:b/>
              </w:rPr>
              <w:t>z</w:t>
            </w:r>
            <w:r w:rsidRPr="00FB54EF">
              <w:rPr>
                <w:b/>
              </w:rPr>
              <w:t>szempont: Jótállás</w:t>
            </w:r>
            <w:r>
              <w:rPr>
                <w:b/>
              </w:rPr>
              <w:t xml:space="preserve"> (szolgáltatás vonatkozásában)</w:t>
            </w:r>
          </w:p>
          <w:p w:rsidR="00503DEE" w:rsidRPr="00FB54EF" w:rsidRDefault="00503DEE" w:rsidP="006408F7">
            <w:pPr>
              <w:pStyle w:val="Listaszerbekezds"/>
              <w:spacing w:after="120"/>
              <w:rPr>
                <w:b/>
              </w:rPr>
            </w:pPr>
            <w:r>
              <w:rPr>
                <w:b/>
              </w:rPr>
              <w:t>…</w:t>
            </w:r>
            <w:proofErr w:type="gramStart"/>
            <w:r>
              <w:rPr>
                <w:b/>
              </w:rPr>
              <w:t>…………</w:t>
            </w:r>
            <w:proofErr w:type="gramEnd"/>
            <w:r>
              <w:rPr>
                <w:b/>
              </w:rPr>
              <w:t xml:space="preserve"> hónap</w:t>
            </w:r>
          </w:p>
          <w:p w:rsidR="00503DEE" w:rsidRDefault="00503DEE" w:rsidP="006408F7">
            <w:pPr>
              <w:spacing w:before="60" w:after="60" w:line="280" w:lineRule="exact"/>
            </w:pPr>
          </w:p>
          <w:p w:rsidR="00503DEE" w:rsidRPr="00735B22" w:rsidRDefault="00503DEE" w:rsidP="006408F7">
            <w:pPr>
              <w:spacing w:before="60" w:after="60" w:line="280" w:lineRule="exact"/>
            </w:pPr>
            <w:r>
              <w:t>Ajánlatkérő az 1-2. folyószám alatt szereplő szolgáltatások megrendelésére vállal kötelezettséget.</w:t>
            </w:r>
          </w:p>
          <w:p w:rsidR="00503DEE" w:rsidRDefault="00503DEE" w:rsidP="006408F7">
            <w:pPr>
              <w:spacing w:before="60" w:after="60" w:line="280" w:lineRule="exact"/>
            </w:pPr>
            <w:r w:rsidRPr="000A1443">
              <w:t>Kelt:</w:t>
            </w:r>
          </w:p>
          <w:p w:rsidR="00503DEE" w:rsidRPr="000A1443" w:rsidRDefault="00503DEE" w:rsidP="006408F7">
            <w:pPr>
              <w:spacing w:before="60" w:after="60" w:line="280" w:lineRule="exact"/>
            </w:pPr>
          </w:p>
        </w:tc>
      </w:tr>
    </w:tbl>
    <w:p w:rsidR="00503DEE" w:rsidRDefault="00503DEE" w:rsidP="00503DEE">
      <w:pPr>
        <w:suppressAutoHyphens/>
        <w:jc w:val="right"/>
      </w:pPr>
      <w:r>
        <w:t>______________________</w:t>
      </w:r>
    </w:p>
    <w:p w:rsidR="00503DEE" w:rsidRDefault="00503DEE" w:rsidP="00503DEE">
      <w:pPr>
        <w:tabs>
          <w:tab w:val="center" w:pos="7938"/>
        </w:tabs>
        <w:suppressAutoHyphens/>
      </w:pPr>
      <w:r>
        <w:tab/>
        <w:t>Cégszerű aláírás</w:t>
      </w:r>
    </w:p>
    <w:p w:rsidR="002A064D" w:rsidRDefault="002A064D">
      <w:bookmarkStart w:id="2" w:name="_GoBack"/>
      <w:bookmarkEnd w:id="2"/>
    </w:p>
    <w:sectPr w:rsidR="002A06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EE" w:rsidRDefault="00503DEE" w:rsidP="00503DEE">
      <w:r>
        <w:separator/>
      </w:r>
    </w:p>
  </w:endnote>
  <w:endnote w:type="continuationSeparator" w:id="0">
    <w:p w:rsidR="00503DEE" w:rsidRDefault="00503DEE" w:rsidP="0050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EE" w:rsidRDefault="00503DEE" w:rsidP="00503DEE">
      <w:r>
        <w:separator/>
      </w:r>
    </w:p>
  </w:footnote>
  <w:footnote w:type="continuationSeparator" w:id="0">
    <w:p w:rsidR="00503DEE" w:rsidRDefault="00503DEE" w:rsidP="00503DEE">
      <w:r>
        <w:continuationSeparator/>
      </w:r>
    </w:p>
  </w:footnote>
  <w:footnote w:id="1">
    <w:p w:rsidR="00503DEE" w:rsidRDefault="00503DEE" w:rsidP="00503DEE">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503DEE" w:rsidRPr="00D04653" w:rsidRDefault="00503DEE" w:rsidP="00503DEE">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718"/>
    <w:multiLevelType w:val="hybridMultilevel"/>
    <w:tmpl w:val="5650C3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0"/>
    <w:rsid w:val="002A064D"/>
    <w:rsid w:val="00503DEE"/>
    <w:rsid w:val="00DC0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3DEE"/>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503DEE"/>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503DEE"/>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uiPriority w:val="34"/>
    <w:qFormat/>
    <w:rsid w:val="00503DEE"/>
    <w:pPr>
      <w:ind w:left="720"/>
      <w:contextualSpacing/>
    </w:pPr>
  </w:style>
  <w:style w:type="table" w:styleId="Rcsostblzat">
    <w:name w:val="Table Grid"/>
    <w:basedOn w:val="Normltblzat"/>
    <w:uiPriority w:val="99"/>
    <w:rsid w:val="00503DE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503DEE"/>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503DE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503DEE"/>
    <w:rPr>
      <w:vertAlign w:val="superscript"/>
    </w:rPr>
  </w:style>
  <w:style w:type="character" w:customStyle="1" w:styleId="ListaszerbekezdsChar">
    <w:name w:val="Listaszerű bekezdés Char"/>
    <w:aliases w:val="lista_2 Char,Welt L Char"/>
    <w:link w:val="Listaszerbekezds"/>
    <w:uiPriority w:val="34"/>
    <w:locked/>
    <w:rsid w:val="00503DEE"/>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3DEE"/>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503DEE"/>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503DEE"/>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uiPriority w:val="34"/>
    <w:qFormat/>
    <w:rsid w:val="00503DEE"/>
    <w:pPr>
      <w:ind w:left="720"/>
      <w:contextualSpacing/>
    </w:pPr>
  </w:style>
  <w:style w:type="table" w:styleId="Rcsostblzat">
    <w:name w:val="Table Grid"/>
    <w:basedOn w:val="Normltblzat"/>
    <w:uiPriority w:val="99"/>
    <w:rsid w:val="00503DE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503DEE"/>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503DE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503DEE"/>
    <w:rPr>
      <w:vertAlign w:val="superscript"/>
    </w:rPr>
  </w:style>
  <w:style w:type="character" w:customStyle="1" w:styleId="ListaszerbekezdsChar">
    <w:name w:val="Listaszerű bekezdés Char"/>
    <w:aliases w:val="lista_2 Char,Welt L Char"/>
    <w:link w:val="Listaszerbekezds"/>
    <w:uiPriority w:val="34"/>
    <w:locked/>
    <w:rsid w:val="00503DE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3331</Characters>
  <Application>Microsoft Office Word</Application>
  <DocSecurity>0</DocSecurity>
  <Lines>27</Lines>
  <Paragraphs>7</Paragraphs>
  <ScaleCrop>false</ScaleCrop>
  <Company>HM VGH</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2017-11-22T10:53:00Z</dcterms:created>
  <dcterms:modified xsi:type="dcterms:W3CDTF">2017-11-22T10:53:00Z</dcterms:modified>
</cp:coreProperties>
</file>