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1A" w:rsidRDefault="0092431A" w:rsidP="0092431A">
      <w:pPr>
        <w:pStyle w:val="Cmsor4"/>
        <w:numPr>
          <w:ilvl w:val="0"/>
          <w:numId w:val="0"/>
        </w:numPr>
        <w:ind w:left="360"/>
      </w:pPr>
      <w:bookmarkStart w:id="0" w:name="_GoBack"/>
      <w:bookmarkEnd w:id="0"/>
      <w:r>
        <w:t xml:space="preserve">2. sz. melléklet </w:t>
      </w:r>
      <w:r w:rsidRPr="00361AEB">
        <w:t xml:space="preserve">az </w:t>
      </w:r>
      <w:r>
        <w:t>BI/</w:t>
      </w:r>
      <w:r w:rsidRPr="00361AEB">
        <w:t xml:space="preserve">871-11/2016 </w:t>
      </w:r>
      <w:r>
        <w:t>nyt. számú KKD-hez</w:t>
      </w:r>
    </w:p>
    <w:p w:rsidR="0092431A" w:rsidRPr="009749AA" w:rsidRDefault="0092431A" w:rsidP="0092431A">
      <w:pPr>
        <w:pStyle w:val="Listaszerbekezds"/>
        <w:tabs>
          <w:tab w:val="left" w:pos="1276"/>
        </w:tabs>
        <w:ind w:left="357"/>
        <w:jc w:val="both"/>
      </w:pPr>
    </w:p>
    <w:tbl>
      <w:tblPr>
        <w:tblW w:w="9284" w:type="dxa"/>
        <w:tblLayout w:type="fixed"/>
        <w:tblCellMar>
          <w:left w:w="70" w:type="dxa"/>
          <w:right w:w="70" w:type="dxa"/>
        </w:tblCellMar>
        <w:tblLook w:val="0000" w:firstRow="0" w:lastRow="0" w:firstColumn="0" w:lastColumn="0" w:noHBand="0" w:noVBand="0"/>
      </w:tblPr>
      <w:tblGrid>
        <w:gridCol w:w="9284"/>
      </w:tblGrid>
      <w:tr w:rsidR="0092431A" w:rsidRPr="000A1443" w:rsidTr="00625757">
        <w:tc>
          <w:tcPr>
            <w:tcW w:w="9284" w:type="dxa"/>
          </w:tcPr>
          <w:p w:rsidR="0092431A" w:rsidRPr="005411DB" w:rsidRDefault="0092431A" w:rsidP="00625757">
            <w:pPr>
              <w:tabs>
                <w:tab w:val="left" w:pos="238"/>
              </w:tabs>
              <w:suppressAutoHyphens/>
              <w:jc w:val="center"/>
              <w:rPr>
                <w:sz w:val="12"/>
                <w:szCs w:val="12"/>
              </w:rPr>
            </w:pPr>
          </w:p>
          <w:p w:rsidR="0092431A" w:rsidRPr="00571548" w:rsidRDefault="0092431A" w:rsidP="00625757">
            <w:pPr>
              <w:pStyle w:val="Cmsor2"/>
              <w:numPr>
                <w:ilvl w:val="0"/>
                <w:numId w:val="0"/>
              </w:numPr>
              <w:ind w:right="-5031"/>
              <w:rPr>
                <w:i/>
              </w:rPr>
            </w:pPr>
          </w:p>
          <w:p w:rsidR="0092431A" w:rsidRDefault="0092431A" w:rsidP="00625757">
            <w:pPr>
              <w:suppressAutoHyphens/>
              <w:spacing w:after="240"/>
              <w:jc w:val="center"/>
              <w:rPr>
                <w:b/>
              </w:rPr>
            </w:pPr>
            <w:r>
              <w:rPr>
                <w:b/>
              </w:rPr>
              <w:t>FELOLVASÓLAP (MINTA)</w:t>
            </w:r>
          </w:p>
          <w:tbl>
            <w:tblPr>
              <w:tblW w:w="0" w:type="auto"/>
              <w:tblLayout w:type="fixed"/>
              <w:tblLook w:val="01E0" w:firstRow="1" w:lastRow="1" w:firstColumn="1" w:lastColumn="1" w:noHBand="0" w:noVBand="0"/>
            </w:tblPr>
            <w:tblGrid>
              <w:gridCol w:w="3652"/>
              <w:gridCol w:w="5456"/>
            </w:tblGrid>
            <w:tr w:rsidR="0092431A" w:rsidRPr="000A1443" w:rsidTr="00625757">
              <w:tc>
                <w:tcPr>
                  <w:tcW w:w="3652" w:type="dxa"/>
                </w:tcPr>
                <w:p w:rsidR="0092431A" w:rsidRPr="000A1443" w:rsidRDefault="0092431A" w:rsidP="00625757">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92431A" w:rsidRPr="000A1443" w:rsidRDefault="0092431A" w:rsidP="00625757">
                  <w:pPr>
                    <w:spacing w:before="60" w:after="60" w:line="280" w:lineRule="exact"/>
                    <w:jc w:val="center"/>
                  </w:pPr>
                </w:p>
              </w:tc>
            </w:tr>
            <w:tr w:rsidR="0092431A" w:rsidRPr="000A1443" w:rsidTr="00625757">
              <w:trPr>
                <w:trHeight w:val="413"/>
              </w:trPr>
              <w:tc>
                <w:tcPr>
                  <w:tcW w:w="3652" w:type="dxa"/>
                </w:tcPr>
                <w:p w:rsidR="0092431A" w:rsidRPr="000A1443" w:rsidRDefault="0092431A" w:rsidP="00625757">
                  <w:pPr>
                    <w:spacing w:before="60" w:after="60" w:line="260" w:lineRule="exact"/>
                  </w:pPr>
                  <w:r w:rsidRPr="000A1443">
                    <w:t>Kapcsolattartó neve:</w:t>
                  </w:r>
                </w:p>
              </w:tc>
              <w:tc>
                <w:tcPr>
                  <w:tcW w:w="5456" w:type="dxa"/>
                </w:tcPr>
                <w:p w:rsidR="0092431A" w:rsidRPr="000A1443" w:rsidRDefault="0092431A" w:rsidP="00625757">
                  <w:pPr>
                    <w:spacing w:before="60" w:after="60" w:line="280" w:lineRule="exact"/>
                    <w:jc w:val="center"/>
                  </w:pPr>
                </w:p>
              </w:tc>
            </w:tr>
            <w:tr w:rsidR="0092431A" w:rsidRPr="000A1443" w:rsidTr="00625757">
              <w:tc>
                <w:tcPr>
                  <w:tcW w:w="3652" w:type="dxa"/>
                </w:tcPr>
                <w:p w:rsidR="0092431A" w:rsidRPr="000A1443" w:rsidRDefault="0092431A" w:rsidP="00625757">
                  <w:pPr>
                    <w:spacing w:before="60" w:after="60" w:line="260" w:lineRule="exact"/>
                  </w:pPr>
                  <w:r w:rsidRPr="000A1443">
                    <w:t>Ajánlattevő címe:</w:t>
                  </w:r>
                </w:p>
              </w:tc>
              <w:tc>
                <w:tcPr>
                  <w:tcW w:w="5456" w:type="dxa"/>
                </w:tcPr>
                <w:p w:rsidR="0092431A" w:rsidRPr="000A1443" w:rsidRDefault="0092431A" w:rsidP="00625757">
                  <w:pPr>
                    <w:spacing w:before="60" w:after="60" w:line="280" w:lineRule="exact"/>
                    <w:jc w:val="center"/>
                  </w:pPr>
                </w:p>
              </w:tc>
            </w:tr>
            <w:tr w:rsidR="0092431A" w:rsidRPr="000A1443" w:rsidTr="00625757">
              <w:tc>
                <w:tcPr>
                  <w:tcW w:w="3652" w:type="dxa"/>
                </w:tcPr>
                <w:p w:rsidR="0092431A" w:rsidRPr="000A1443" w:rsidRDefault="0092431A" w:rsidP="00625757">
                  <w:pPr>
                    <w:spacing w:before="60" w:after="60" w:line="260" w:lineRule="exact"/>
                  </w:pPr>
                  <w:r w:rsidRPr="000A1443">
                    <w:t>Ajánlattevő telefonszáma:</w:t>
                  </w:r>
                </w:p>
              </w:tc>
              <w:tc>
                <w:tcPr>
                  <w:tcW w:w="5456" w:type="dxa"/>
                </w:tcPr>
                <w:p w:rsidR="0092431A" w:rsidRPr="000A1443" w:rsidRDefault="0092431A" w:rsidP="00625757">
                  <w:pPr>
                    <w:spacing w:before="60" w:after="60" w:line="280" w:lineRule="exact"/>
                    <w:jc w:val="center"/>
                  </w:pPr>
                </w:p>
              </w:tc>
            </w:tr>
            <w:tr w:rsidR="0092431A" w:rsidRPr="000A1443" w:rsidTr="00625757">
              <w:tc>
                <w:tcPr>
                  <w:tcW w:w="3652" w:type="dxa"/>
                </w:tcPr>
                <w:p w:rsidR="0092431A" w:rsidRPr="000A1443" w:rsidRDefault="0092431A" w:rsidP="00625757">
                  <w:pPr>
                    <w:spacing w:before="60" w:after="120" w:line="260" w:lineRule="exact"/>
                  </w:pPr>
                  <w:r w:rsidRPr="000A1443">
                    <w:t>Ajánlattevő telefaxszáma:</w:t>
                  </w:r>
                </w:p>
              </w:tc>
              <w:tc>
                <w:tcPr>
                  <w:tcW w:w="5456" w:type="dxa"/>
                </w:tcPr>
                <w:p w:rsidR="0092431A" w:rsidRPr="000A1443" w:rsidRDefault="0092431A" w:rsidP="00625757">
                  <w:pPr>
                    <w:spacing w:line="280" w:lineRule="exact"/>
                    <w:jc w:val="center"/>
                  </w:pPr>
                </w:p>
              </w:tc>
            </w:tr>
            <w:tr w:rsidR="0092431A" w:rsidRPr="000A1443" w:rsidTr="00625757">
              <w:tc>
                <w:tcPr>
                  <w:tcW w:w="3652" w:type="dxa"/>
                </w:tcPr>
                <w:p w:rsidR="0092431A" w:rsidRDefault="0092431A" w:rsidP="00625757">
                  <w:pPr>
                    <w:spacing w:before="60"/>
                  </w:pPr>
                  <w:r w:rsidRPr="000A1443">
                    <w:t>Ajánlattevő e-mail címe:</w:t>
                  </w:r>
                </w:p>
              </w:tc>
              <w:tc>
                <w:tcPr>
                  <w:tcW w:w="5456" w:type="dxa"/>
                </w:tcPr>
                <w:p w:rsidR="0092431A" w:rsidRPr="000A1443" w:rsidRDefault="0092431A" w:rsidP="00625757">
                  <w:pPr>
                    <w:spacing w:line="280" w:lineRule="exact"/>
                    <w:jc w:val="center"/>
                  </w:pPr>
                </w:p>
              </w:tc>
            </w:tr>
          </w:tbl>
          <w:p w:rsidR="0092431A" w:rsidRDefault="0092431A" w:rsidP="00625757">
            <w:pPr>
              <w:jc w:val="center"/>
              <w:rPr>
                <w:b/>
              </w:rPr>
            </w:pPr>
          </w:p>
          <w:p w:rsidR="0092431A" w:rsidRDefault="0092431A" w:rsidP="00625757">
            <w:pPr>
              <w:spacing w:before="120"/>
              <w:jc w:val="both"/>
              <w:rPr>
                <w:rFonts w:eastAsia="Calibri"/>
                <w:i/>
                <w:snapToGrid w:val="0"/>
                <w:lang w:eastAsia="en-US"/>
              </w:rPr>
            </w:pPr>
            <w:r>
              <w:rPr>
                <w:b/>
              </w:rPr>
              <w:t xml:space="preserve">2. </w:t>
            </w:r>
            <w:r w:rsidRPr="000A1443">
              <w:rPr>
                <w:b/>
              </w:rPr>
              <w:t>Az ajánlat tárgya:</w:t>
            </w:r>
            <w:r w:rsidRPr="001358A0">
              <w:t xml:space="preserve"> </w:t>
            </w:r>
            <w:r w:rsidRPr="001358A0">
              <w:rPr>
                <w:rFonts w:eastAsia="Calibri"/>
                <w:bCs/>
                <w:i/>
                <w:snapToGrid w:val="0"/>
                <w:lang w:eastAsia="en-US"/>
              </w:rPr>
              <w:t>„</w:t>
            </w:r>
            <w:r w:rsidRPr="00052A0B">
              <w:rPr>
                <w:i/>
                <w:iCs/>
              </w:rPr>
              <w:t>Hódmezővásárhely, „MH 5. Bocskai István Lövészdandár R-12 sz. épület bővítése és teljes körű átalakításához szükséges tervezési feladatok</w:t>
            </w:r>
            <w:r w:rsidRPr="001358A0">
              <w:rPr>
                <w:rFonts w:eastAsia="Calibri"/>
                <w:i/>
                <w:snapToGrid w:val="0"/>
                <w:lang w:eastAsia="en-US"/>
              </w:rPr>
              <w:t>”</w:t>
            </w:r>
          </w:p>
          <w:p w:rsidR="0092431A" w:rsidRDefault="0092431A" w:rsidP="00625757">
            <w:pPr>
              <w:spacing w:before="120"/>
              <w:rPr>
                <w:rFonts w:eastAsia="Calibri"/>
                <w:i/>
                <w:snapToGrid w:val="0"/>
                <w:lang w:eastAsia="en-US"/>
              </w:rPr>
            </w:pPr>
          </w:p>
          <w:p w:rsidR="0092431A" w:rsidRPr="00C01EBB" w:rsidRDefault="0092431A" w:rsidP="00625757">
            <w:pPr>
              <w:spacing w:before="60" w:after="60" w:line="280" w:lineRule="exact"/>
              <w:rPr>
                <w:b/>
              </w:rPr>
            </w:pPr>
            <w:r>
              <w:rPr>
                <w:b/>
              </w:rPr>
              <w:t>3.</w:t>
            </w:r>
            <w:r w:rsidRPr="00C01EBB">
              <w:rPr>
                <w:b/>
              </w:rPr>
              <w:t xml:space="preserve"> Ajánlat</w:t>
            </w:r>
            <w:r>
              <w:rPr>
                <w:b/>
              </w:rPr>
              <w:t>:</w:t>
            </w:r>
          </w:p>
          <w:tbl>
            <w:tblPr>
              <w:tblW w:w="0" w:type="auto"/>
              <w:jc w:val="center"/>
              <w:tblLayout w:type="fixed"/>
              <w:tblCellMar>
                <w:left w:w="0" w:type="dxa"/>
                <w:right w:w="0" w:type="dxa"/>
              </w:tblCellMar>
              <w:tblLook w:val="00A0" w:firstRow="1" w:lastRow="0" w:firstColumn="1" w:lastColumn="0" w:noHBand="0" w:noVBand="0"/>
            </w:tblPr>
            <w:tblGrid>
              <w:gridCol w:w="396"/>
              <w:gridCol w:w="3573"/>
              <w:gridCol w:w="1276"/>
            </w:tblGrid>
            <w:tr w:rsidR="0092431A" w:rsidRPr="00A924AC" w:rsidTr="00625757">
              <w:trPr>
                <w:jc w:val="center"/>
              </w:trPr>
              <w:tc>
                <w:tcPr>
                  <w:tcW w:w="3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rPr>
                      <w:i/>
                    </w:rPr>
                  </w:pPr>
                  <w:r w:rsidRPr="007F244B">
                    <w:t>1.</w:t>
                  </w:r>
                </w:p>
              </w:tc>
              <w:tc>
                <w:tcPr>
                  <w:tcW w:w="35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rPr>
                      <w:i/>
                    </w:rPr>
                  </w:pPr>
                  <w:r w:rsidRPr="007F244B">
                    <w:t>Engedélyezési tervek elkészítésére vonatkozó nettó ajánlati ár</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2431A" w:rsidRPr="00011513" w:rsidRDefault="0092431A" w:rsidP="00625757">
                  <w:pPr>
                    <w:contextualSpacing/>
                    <w:rPr>
                      <w:i/>
                      <w:color w:val="C00000"/>
                      <w:highlight w:val="yellow"/>
                    </w:rPr>
                  </w:pPr>
                </w:p>
              </w:tc>
            </w:tr>
            <w:tr w:rsidR="0092431A" w:rsidRPr="00A924AC" w:rsidTr="00625757">
              <w:trPr>
                <w:jc w:val="center"/>
              </w:trPr>
              <w:tc>
                <w:tcPr>
                  <w:tcW w:w="39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pPr>
                  <w:r w:rsidRPr="007F244B">
                    <w:t>2.</w:t>
                  </w:r>
                </w:p>
              </w:tc>
              <w:tc>
                <w:tcPr>
                  <w:tcW w:w="357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pPr>
                  <w:r w:rsidRPr="007F244B">
                    <w:t>Kiviteli tervek elkészítésére vonatkozó nettó ajánlati ár</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92431A" w:rsidRPr="00011513" w:rsidRDefault="0092431A" w:rsidP="00625757">
                  <w:pPr>
                    <w:contextualSpacing/>
                    <w:rPr>
                      <w:i/>
                      <w:color w:val="C00000"/>
                      <w:highlight w:val="yellow"/>
                    </w:rPr>
                  </w:pPr>
                </w:p>
              </w:tc>
            </w:tr>
            <w:tr w:rsidR="0092431A" w:rsidRPr="00A924AC" w:rsidTr="00625757">
              <w:trPr>
                <w:jc w:val="center"/>
              </w:trPr>
              <w:tc>
                <w:tcPr>
                  <w:tcW w:w="3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rPr>
                      <w:i/>
                    </w:rPr>
                  </w:pPr>
                  <w:r w:rsidRPr="007F244B">
                    <w:t>3.</w:t>
                  </w:r>
                </w:p>
              </w:tc>
              <w:tc>
                <w:tcPr>
                  <w:tcW w:w="3573" w:type="dxa"/>
                  <w:tcBorders>
                    <w:top w:val="nil"/>
                    <w:left w:val="nil"/>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rPr>
                      <w:i/>
                    </w:rPr>
                  </w:pPr>
                  <w:r w:rsidRPr="007F244B">
                    <w:t xml:space="preserve">Késedelmi kötbér mértéke </w:t>
                  </w:r>
                  <w:r w:rsidRPr="0029176D">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92431A" w:rsidRPr="00011513" w:rsidRDefault="0092431A" w:rsidP="00625757">
                  <w:pPr>
                    <w:contextualSpacing/>
                    <w:rPr>
                      <w:i/>
                      <w:color w:val="C00000"/>
                      <w:highlight w:val="yellow"/>
                    </w:rPr>
                  </w:pPr>
                </w:p>
              </w:tc>
            </w:tr>
            <w:tr w:rsidR="0092431A" w:rsidRPr="00A924AC" w:rsidTr="00625757">
              <w:trPr>
                <w:trHeight w:val="60"/>
                <w:jc w:val="center"/>
              </w:trPr>
              <w:tc>
                <w:tcPr>
                  <w:tcW w:w="3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contextualSpacing/>
                    <w:rPr>
                      <w:i/>
                    </w:rPr>
                  </w:pPr>
                  <w:r w:rsidRPr="007F244B">
                    <w:t>4.</w:t>
                  </w:r>
                </w:p>
              </w:tc>
              <w:tc>
                <w:tcPr>
                  <w:tcW w:w="3573" w:type="dxa"/>
                  <w:tcBorders>
                    <w:top w:val="nil"/>
                    <w:left w:val="nil"/>
                    <w:bottom w:val="single" w:sz="8" w:space="0" w:color="000000"/>
                    <w:right w:val="single" w:sz="8" w:space="0" w:color="000000"/>
                  </w:tcBorders>
                  <w:tcMar>
                    <w:top w:w="0" w:type="dxa"/>
                    <w:left w:w="108" w:type="dxa"/>
                    <w:bottom w:w="0" w:type="dxa"/>
                    <w:right w:w="108" w:type="dxa"/>
                  </w:tcMar>
                </w:tcPr>
                <w:p w:rsidR="0092431A" w:rsidRPr="007F244B" w:rsidRDefault="0092431A" w:rsidP="00625757">
                  <w:pPr>
                    <w:tabs>
                      <w:tab w:val="right" w:pos="3357"/>
                    </w:tabs>
                    <w:contextualSpacing/>
                    <w:rPr>
                      <w:i/>
                    </w:rPr>
                  </w:pPr>
                  <w:r w:rsidRPr="007F244B">
                    <w:t xml:space="preserve">Teljesítési határidő </w:t>
                  </w:r>
                  <w:r w:rsidRPr="0029176D">
                    <w: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92431A" w:rsidRPr="00011513" w:rsidRDefault="0092431A" w:rsidP="00625757">
                  <w:pPr>
                    <w:contextualSpacing/>
                    <w:rPr>
                      <w:i/>
                      <w:color w:val="C00000"/>
                      <w:highlight w:val="yellow"/>
                    </w:rPr>
                  </w:pPr>
                </w:p>
              </w:tc>
            </w:tr>
          </w:tbl>
          <w:p w:rsidR="0092431A" w:rsidRPr="000A1443" w:rsidRDefault="0092431A" w:rsidP="00625757">
            <w:pPr>
              <w:spacing w:before="60" w:after="60" w:line="280" w:lineRule="exact"/>
              <w:jc w:val="center"/>
            </w:pPr>
          </w:p>
        </w:tc>
      </w:tr>
      <w:tr w:rsidR="0092431A" w:rsidRPr="000A1443" w:rsidTr="00625757">
        <w:tc>
          <w:tcPr>
            <w:tcW w:w="9284" w:type="dxa"/>
          </w:tcPr>
          <w:p w:rsidR="0092431A" w:rsidRPr="005411DB" w:rsidRDefault="0092431A" w:rsidP="00625757">
            <w:pPr>
              <w:tabs>
                <w:tab w:val="left" w:pos="238"/>
              </w:tabs>
              <w:suppressAutoHyphens/>
              <w:jc w:val="center"/>
              <w:rPr>
                <w:sz w:val="12"/>
                <w:szCs w:val="12"/>
              </w:rPr>
            </w:pPr>
          </w:p>
        </w:tc>
      </w:tr>
    </w:tbl>
    <w:p w:rsidR="0092431A" w:rsidRPr="00C01EBB" w:rsidRDefault="0092431A" w:rsidP="0092431A">
      <w:pPr>
        <w:spacing w:before="60" w:after="60" w:line="280" w:lineRule="exact"/>
        <w:jc w:val="both"/>
      </w:pPr>
      <w:r w:rsidRPr="00C01EBB">
        <w:t>*Engedélyezés és kiviteli tervek vonatkozásában a nettó tervezői díj 0,3%-1% között.</w:t>
      </w:r>
    </w:p>
    <w:p w:rsidR="0092431A" w:rsidRPr="00C01EBB" w:rsidRDefault="0092431A" w:rsidP="0092431A">
      <w:pPr>
        <w:spacing w:before="60" w:after="60" w:line="280" w:lineRule="exact"/>
        <w:jc w:val="both"/>
      </w:pPr>
      <w:r w:rsidRPr="00361AEB">
        <w:t xml:space="preserve">** </w:t>
      </w:r>
      <w:r w:rsidRPr="00361AEB">
        <w:rPr>
          <w:b/>
        </w:rPr>
        <w:t xml:space="preserve">Engedélyezési tervek elkészítése: </w:t>
      </w:r>
      <w:r w:rsidRPr="0029176D">
        <w:rPr>
          <w:b/>
        </w:rPr>
        <w:t>Megrendelő részéről történő kezdő adatszolgáltatástól</w:t>
      </w:r>
      <w:r w:rsidRPr="00361AEB">
        <w:rPr>
          <w:b/>
        </w:rPr>
        <w:t xml:space="preserve"> számított maximum 75 nap.</w:t>
      </w:r>
    </w:p>
    <w:p w:rsidR="0092431A" w:rsidRDefault="0092431A" w:rsidP="0092431A">
      <w:pPr>
        <w:spacing w:before="60" w:after="60" w:line="280" w:lineRule="exact"/>
        <w:jc w:val="center"/>
      </w:pPr>
    </w:p>
    <w:p w:rsidR="0092431A" w:rsidRDefault="0092431A" w:rsidP="0092431A">
      <w:pPr>
        <w:spacing w:before="60" w:after="60" w:line="280" w:lineRule="exact"/>
      </w:pPr>
      <w:r w:rsidRPr="000A1443">
        <w:t>Kelt:</w:t>
      </w:r>
      <w:r>
        <w:tab/>
      </w:r>
      <w:r>
        <w:tab/>
      </w:r>
      <w:r>
        <w:tab/>
      </w:r>
      <w:r>
        <w:tab/>
      </w:r>
      <w:r>
        <w:tab/>
      </w:r>
      <w:r>
        <w:tab/>
      </w:r>
      <w:r>
        <w:tab/>
      </w:r>
      <w:r>
        <w:tab/>
      </w:r>
      <w:r>
        <w:tab/>
      </w:r>
    </w:p>
    <w:p w:rsidR="0092431A" w:rsidRDefault="0092431A" w:rsidP="0092431A">
      <w:pPr>
        <w:spacing w:before="60" w:after="60" w:line="280" w:lineRule="exact"/>
      </w:pPr>
    </w:p>
    <w:p w:rsidR="0092431A" w:rsidRDefault="0092431A" w:rsidP="0092431A">
      <w:pPr>
        <w:spacing w:before="60" w:after="60" w:line="280" w:lineRule="exact"/>
      </w:pPr>
    </w:p>
    <w:p w:rsidR="0092431A" w:rsidRDefault="0092431A" w:rsidP="0092431A">
      <w:pPr>
        <w:spacing w:before="60" w:after="60" w:line="280" w:lineRule="exact"/>
        <w:ind w:left="6381"/>
      </w:pPr>
      <w:r>
        <w:t>Cégszerű aláírás</w:t>
      </w:r>
    </w:p>
    <w:p w:rsidR="0092431A" w:rsidRDefault="0092431A" w:rsidP="0092431A">
      <w:pPr>
        <w:jc w:val="center"/>
      </w:pPr>
      <w:r>
        <w:br w:type="page"/>
      </w:r>
    </w:p>
    <w:p w:rsidR="000170E8" w:rsidRDefault="00CC1FC9"/>
    <w:sectPr w:rsidR="00017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C9" w:rsidRDefault="00CC1FC9" w:rsidP="0092431A">
      <w:r>
        <w:separator/>
      </w:r>
    </w:p>
  </w:endnote>
  <w:endnote w:type="continuationSeparator" w:id="0">
    <w:p w:rsidR="00CC1FC9" w:rsidRDefault="00CC1FC9" w:rsidP="0092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félkövér">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C9" w:rsidRDefault="00CC1FC9" w:rsidP="0092431A">
      <w:r>
        <w:separator/>
      </w:r>
    </w:p>
  </w:footnote>
  <w:footnote w:type="continuationSeparator" w:id="0">
    <w:p w:rsidR="00CC1FC9" w:rsidRDefault="00CC1FC9" w:rsidP="0092431A">
      <w:r>
        <w:continuationSeparator/>
      </w:r>
    </w:p>
  </w:footnote>
  <w:footnote w:id="1">
    <w:p w:rsidR="0092431A" w:rsidRPr="00D04653" w:rsidRDefault="0092431A" w:rsidP="0092431A">
      <w:pPr>
        <w:pStyle w:val="Lbjegyzetszveg"/>
        <w:autoSpaceDE w:val="0"/>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1A"/>
    <w:rsid w:val="000730F3"/>
    <w:rsid w:val="005F15DC"/>
    <w:rsid w:val="00796F0A"/>
    <w:rsid w:val="0092431A"/>
    <w:rsid w:val="00CC1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31A"/>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92431A"/>
    <w:pPr>
      <w:keepNext/>
      <w:numPr>
        <w:numId w:val="1"/>
      </w:numPr>
      <w:jc w:val="both"/>
      <w:outlineLvl w:val="1"/>
    </w:pPr>
    <w:rPr>
      <w:rFonts w:ascii="Times New Roman félkövér" w:hAnsi="Times New Roman félkövér"/>
      <w:b/>
      <w:bCs/>
      <w:iCs/>
      <w:szCs w:val="28"/>
    </w:rPr>
  </w:style>
  <w:style w:type="paragraph" w:styleId="Cmsor4">
    <w:name w:val="heading 4"/>
    <w:basedOn w:val="Norml"/>
    <w:next w:val="Norml"/>
    <w:link w:val="Cmsor4Char"/>
    <w:qFormat/>
    <w:rsid w:val="0092431A"/>
    <w:pPr>
      <w:keepNext/>
      <w:numPr>
        <w:numId w:val="2"/>
      </w:numPr>
      <w:jc w:val="right"/>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2431A"/>
    <w:rPr>
      <w:rFonts w:ascii="Times New Roman félkövér" w:eastAsia="Times New Roman" w:hAnsi="Times New Roman félkövér" w:cs="Times New Roman"/>
      <w:b/>
      <w:bCs/>
      <w:iCs/>
      <w:sz w:val="24"/>
      <w:szCs w:val="28"/>
      <w:lang w:eastAsia="hu-HU"/>
    </w:rPr>
  </w:style>
  <w:style w:type="character" w:customStyle="1" w:styleId="Cmsor4Char">
    <w:name w:val="Címsor 4 Char"/>
    <w:basedOn w:val="Bekezdsalapbettpusa"/>
    <w:link w:val="Cmsor4"/>
    <w:rsid w:val="0092431A"/>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92431A"/>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92431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2431A"/>
    <w:rPr>
      <w:rFonts w:ascii="Times New Roman" w:eastAsia="Times New Roman" w:hAnsi="Times New Roman" w:cs="Times New Roman"/>
      <w:sz w:val="20"/>
      <w:szCs w:val="20"/>
      <w:lang w:eastAsia="hu-HU"/>
    </w:rPr>
  </w:style>
  <w:style w:type="character" w:customStyle="1" w:styleId="ListaszerbekezdsChar">
    <w:name w:val="Listaszerű bekezdés Char"/>
    <w:aliases w:val="lista_2 Char,Welt L Char"/>
    <w:link w:val="Listaszerbekezds"/>
    <w:uiPriority w:val="34"/>
    <w:locked/>
    <w:rsid w:val="0092431A"/>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431A"/>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92431A"/>
    <w:pPr>
      <w:keepNext/>
      <w:numPr>
        <w:numId w:val="1"/>
      </w:numPr>
      <w:jc w:val="both"/>
      <w:outlineLvl w:val="1"/>
    </w:pPr>
    <w:rPr>
      <w:rFonts w:ascii="Times New Roman félkövér" w:hAnsi="Times New Roman félkövér"/>
      <w:b/>
      <w:bCs/>
      <w:iCs/>
      <w:szCs w:val="28"/>
    </w:rPr>
  </w:style>
  <w:style w:type="paragraph" w:styleId="Cmsor4">
    <w:name w:val="heading 4"/>
    <w:basedOn w:val="Norml"/>
    <w:next w:val="Norml"/>
    <w:link w:val="Cmsor4Char"/>
    <w:qFormat/>
    <w:rsid w:val="0092431A"/>
    <w:pPr>
      <w:keepNext/>
      <w:numPr>
        <w:numId w:val="2"/>
      </w:numPr>
      <w:jc w:val="right"/>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92431A"/>
    <w:rPr>
      <w:rFonts w:ascii="Times New Roman félkövér" w:eastAsia="Times New Roman" w:hAnsi="Times New Roman félkövér" w:cs="Times New Roman"/>
      <w:b/>
      <w:bCs/>
      <w:iCs/>
      <w:sz w:val="24"/>
      <w:szCs w:val="28"/>
      <w:lang w:eastAsia="hu-HU"/>
    </w:rPr>
  </w:style>
  <w:style w:type="character" w:customStyle="1" w:styleId="Cmsor4Char">
    <w:name w:val="Címsor 4 Char"/>
    <w:basedOn w:val="Bekezdsalapbettpusa"/>
    <w:link w:val="Cmsor4"/>
    <w:rsid w:val="0092431A"/>
    <w:rPr>
      <w:rFonts w:ascii="Times New Roman" w:eastAsia="Times New Roman" w:hAnsi="Times New Roman" w:cs="Times New Roman"/>
      <w:sz w:val="24"/>
      <w:szCs w:val="24"/>
      <w:lang w:eastAsia="hu-HU"/>
    </w:rPr>
  </w:style>
  <w:style w:type="paragraph" w:styleId="Listaszerbekezds">
    <w:name w:val="List Paragraph"/>
    <w:aliases w:val="lista_2,Welt L"/>
    <w:basedOn w:val="Norml"/>
    <w:link w:val="ListaszerbekezdsChar"/>
    <w:uiPriority w:val="34"/>
    <w:qFormat/>
    <w:rsid w:val="0092431A"/>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92431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92431A"/>
    <w:rPr>
      <w:rFonts w:ascii="Times New Roman" w:eastAsia="Times New Roman" w:hAnsi="Times New Roman" w:cs="Times New Roman"/>
      <w:sz w:val="20"/>
      <w:szCs w:val="20"/>
      <w:lang w:eastAsia="hu-HU"/>
    </w:rPr>
  </w:style>
  <w:style w:type="character" w:customStyle="1" w:styleId="ListaszerbekezdsChar">
    <w:name w:val="Listaszerű bekezdés Char"/>
    <w:aliases w:val="lista_2 Char,Welt L Char"/>
    <w:link w:val="Listaszerbekezds"/>
    <w:uiPriority w:val="34"/>
    <w:locked/>
    <w:rsid w:val="0092431A"/>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739</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Jónás Krisztián</dc:creator>
  <cp:lastModifiedBy>Jávor Edit</cp:lastModifiedBy>
  <cp:revision>2</cp:revision>
  <dcterms:created xsi:type="dcterms:W3CDTF">2016-11-22T15:14:00Z</dcterms:created>
  <dcterms:modified xsi:type="dcterms:W3CDTF">2016-11-22T15:14:00Z</dcterms:modified>
</cp:coreProperties>
</file>