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54" w:rsidRPr="00126054" w:rsidRDefault="00126054" w:rsidP="00126054">
      <w:pPr>
        <w:pageBreakBefore/>
        <w:suppressAutoHyphens/>
        <w:spacing w:after="0" w:line="240" w:lineRule="auto"/>
        <w:jc w:val="righ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1. sz. melléklet a 932-19/2015. HM BH számhoz</w:t>
      </w:r>
    </w:p>
    <w:p w:rsidR="00126054" w:rsidRPr="00126054" w:rsidRDefault="00126054" w:rsidP="00126054">
      <w:pPr>
        <w:suppressAutoHyphens/>
        <w:spacing w:after="0" w:line="240" w:lineRule="auto"/>
        <w:jc w:val="center"/>
        <w:rPr>
          <w:rFonts w:ascii="Times New Roman" w:eastAsia="Times New Roman" w:hAnsi="Times New Roman" w:cs="Times New Roman"/>
          <w:sz w:val="24"/>
          <w:szCs w:val="24"/>
          <w:lang w:eastAsia="hu-HU"/>
        </w:rPr>
      </w:pPr>
    </w:p>
    <w:p w:rsidR="00126054" w:rsidRPr="00126054" w:rsidRDefault="00126054" w:rsidP="00126054">
      <w:pPr>
        <w:suppressAutoHyphens/>
        <w:spacing w:after="240" w:line="240" w:lineRule="auto"/>
        <w:jc w:val="center"/>
        <w:rPr>
          <w:rFonts w:ascii="Times New Roman" w:eastAsia="Times New Roman" w:hAnsi="Times New Roman" w:cs="Times New Roman"/>
          <w:b/>
          <w:sz w:val="28"/>
          <w:szCs w:val="28"/>
          <w:lang w:eastAsia="hu-HU"/>
        </w:rPr>
      </w:pPr>
      <w:r w:rsidRPr="00126054">
        <w:rPr>
          <w:rFonts w:ascii="Times New Roman" w:eastAsia="Times New Roman" w:hAnsi="Times New Roman" w:cs="Times New Roman"/>
          <w:b/>
          <w:sz w:val="28"/>
          <w:szCs w:val="28"/>
          <w:lang w:eastAsia="hu-HU"/>
        </w:rPr>
        <w:t>FELOLVASÓLAP</w:t>
      </w:r>
    </w:p>
    <w:p w:rsidR="00126054" w:rsidRPr="00126054" w:rsidRDefault="00126054" w:rsidP="00126054">
      <w:pPr>
        <w:suppressAutoHyphens/>
        <w:spacing w:after="0" w:line="240" w:lineRule="auto"/>
        <w:jc w:val="center"/>
        <w:rPr>
          <w:rFonts w:ascii="Times New Roman" w:eastAsia="Times New Roman" w:hAnsi="Times New Roman" w:cs="Times New Roman"/>
          <w:i/>
          <w:sz w:val="24"/>
          <w:szCs w:val="24"/>
          <w:lang w:eastAsia="hu-HU"/>
        </w:rPr>
      </w:pPr>
      <w:r w:rsidRPr="00126054">
        <w:rPr>
          <w:rFonts w:ascii="Times New Roman" w:eastAsia="Times New Roman" w:hAnsi="Times New Roman" w:cs="Times New Roman"/>
          <w:i/>
          <w:sz w:val="24"/>
          <w:szCs w:val="24"/>
          <w:lang w:eastAsia="hu-HU"/>
        </w:rPr>
        <w:t>18 t teherbírású targonca és</w:t>
      </w:r>
    </w:p>
    <w:p w:rsidR="00126054" w:rsidRPr="00126054" w:rsidRDefault="00126054" w:rsidP="00126054">
      <w:pPr>
        <w:suppressAutoHyphens/>
        <w:spacing w:after="0" w:line="240" w:lineRule="auto"/>
        <w:jc w:val="center"/>
        <w:rPr>
          <w:rFonts w:ascii="Times New Roman" w:eastAsia="Times New Roman" w:hAnsi="Times New Roman" w:cs="Times New Roman"/>
          <w:i/>
          <w:sz w:val="24"/>
          <w:szCs w:val="24"/>
          <w:lang w:eastAsia="hu-HU"/>
        </w:rPr>
      </w:pPr>
      <w:r w:rsidRPr="00126054">
        <w:rPr>
          <w:rFonts w:ascii="Times New Roman" w:eastAsia="Times New Roman" w:hAnsi="Times New Roman" w:cs="Times New Roman"/>
          <w:i/>
          <w:sz w:val="24"/>
          <w:szCs w:val="24"/>
          <w:lang w:eastAsia="hu-HU"/>
        </w:rPr>
        <w:t>50 t teherbírású targoncaszállító félpótkocsi beszerzése</w:t>
      </w:r>
    </w:p>
    <w:p w:rsidR="00126054" w:rsidRPr="00126054" w:rsidRDefault="00126054" w:rsidP="00126054">
      <w:pPr>
        <w:suppressAutoHyphens/>
        <w:spacing w:after="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126054" w:rsidRPr="00126054" w:rsidTr="0091524E">
        <w:tc>
          <w:tcPr>
            <w:tcW w:w="3652" w:type="dxa"/>
          </w:tcPr>
          <w:p w:rsidR="00126054" w:rsidRPr="00126054" w:rsidRDefault="00126054" w:rsidP="00126054">
            <w:pPr>
              <w:autoSpaceDE w:val="0"/>
              <w:spacing w:before="60" w:after="60" w:line="280" w:lineRule="exact"/>
              <w:rPr>
                <w:rFonts w:ascii="Times New Roman" w:eastAsia="Times New Roman" w:hAnsi="Times New Roman" w:cs="Times New Roman"/>
                <w:b/>
                <w:sz w:val="24"/>
                <w:szCs w:val="24"/>
                <w:lang w:eastAsia="hu-HU"/>
              </w:rPr>
            </w:pPr>
            <w:r w:rsidRPr="00126054">
              <w:rPr>
                <w:rFonts w:ascii="Times New Roman" w:eastAsia="Times New Roman" w:hAnsi="Times New Roman" w:cs="Times New Roman"/>
                <w:b/>
                <w:sz w:val="24"/>
                <w:szCs w:val="24"/>
                <w:lang w:eastAsia="hu-HU"/>
              </w:rPr>
              <w:t>1. Ajánlattevő neve</w:t>
            </w:r>
            <w:r w:rsidRPr="00126054">
              <w:rPr>
                <w:rFonts w:ascii="Times New Roman" w:eastAsia="Times New Roman" w:hAnsi="Times New Roman" w:cs="Times New Roman"/>
                <w:b/>
                <w:sz w:val="24"/>
                <w:szCs w:val="24"/>
                <w:vertAlign w:val="superscript"/>
                <w:lang w:eastAsia="hu-HU"/>
              </w:rPr>
              <w:footnoteReference w:id="1"/>
            </w:r>
            <w:r w:rsidRPr="00126054">
              <w:rPr>
                <w:rFonts w:ascii="Times New Roman" w:eastAsia="Times New Roman" w:hAnsi="Times New Roman" w:cs="Times New Roman"/>
                <w:b/>
                <w:sz w:val="2"/>
                <w:szCs w:val="24"/>
                <w:lang w:eastAsia="hu-HU"/>
              </w:rPr>
              <w:t>P</w:t>
            </w:r>
            <w:r w:rsidRPr="00126054">
              <w:rPr>
                <w:rFonts w:ascii="Times New Roman" w:eastAsia="Times New Roman" w:hAnsi="Times New Roman" w:cs="Times New Roman"/>
                <w:b/>
                <w:sz w:val="24"/>
                <w:szCs w:val="24"/>
                <w:lang w:eastAsia="hu-HU"/>
              </w:rPr>
              <w:t>:</w:t>
            </w:r>
          </w:p>
        </w:tc>
        <w:tc>
          <w:tcPr>
            <w:tcW w:w="5456" w:type="dxa"/>
          </w:tcPr>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tc>
      </w:tr>
      <w:tr w:rsidR="00126054" w:rsidRPr="00126054" w:rsidTr="0091524E">
        <w:trPr>
          <w:trHeight w:val="413"/>
        </w:trPr>
        <w:tc>
          <w:tcPr>
            <w:tcW w:w="3652" w:type="dxa"/>
          </w:tcPr>
          <w:p w:rsidR="00126054" w:rsidRPr="00126054" w:rsidRDefault="00126054" w:rsidP="00126054">
            <w:pPr>
              <w:spacing w:before="60" w:after="60" w:line="260" w:lineRule="exac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ab/>
              <w:t>Kapcsolattartó neve:</w:t>
            </w:r>
          </w:p>
        </w:tc>
        <w:tc>
          <w:tcPr>
            <w:tcW w:w="5456" w:type="dxa"/>
          </w:tcPr>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tc>
      </w:tr>
      <w:tr w:rsidR="00126054" w:rsidRPr="00126054" w:rsidTr="0091524E">
        <w:tc>
          <w:tcPr>
            <w:tcW w:w="3652" w:type="dxa"/>
          </w:tcPr>
          <w:p w:rsidR="00126054" w:rsidRPr="00126054" w:rsidRDefault="00126054" w:rsidP="00126054">
            <w:pPr>
              <w:spacing w:before="60" w:after="60" w:line="260" w:lineRule="exac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ab/>
              <w:t>Ajánlattevő címe:</w:t>
            </w:r>
          </w:p>
        </w:tc>
        <w:tc>
          <w:tcPr>
            <w:tcW w:w="5456" w:type="dxa"/>
          </w:tcPr>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tc>
      </w:tr>
      <w:tr w:rsidR="00126054" w:rsidRPr="00126054" w:rsidTr="0091524E">
        <w:tc>
          <w:tcPr>
            <w:tcW w:w="3652" w:type="dxa"/>
          </w:tcPr>
          <w:p w:rsidR="00126054" w:rsidRPr="00126054" w:rsidRDefault="00126054" w:rsidP="00126054">
            <w:pPr>
              <w:spacing w:before="60" w:after="60" w:line="260" w:lineRule="exac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ab/>
              <w:t>Ajánlattevő telefonszáma:</w:t>
            </w:r>
          </w:p>
        </w:tc>
        <w:tc>
          <w:tcPr>
            <w:tcW w:w="5456" w:type="dxa"/>
          </w:tcPr>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tc>
      </w:tr>
      <w:tr w:rsidR="00126054" w:rsidRPr="00126054" w:rsidTr="0091524E">
        <w:tc>
          <w:tcPr>
            <w:tcW w:w="3652" w:type="dxa"/>
          </w:tcPr>
          <w:p w:rsidR="00126054" w:rsidRPr="00126054" w:rsidRDefault="00126054" w:rsidP="00126054">
            <w:pPr>
              <w:spacing w:before="60" w:after="120" w:line="260" w:lineRule="exac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ab/>
              <w:t>Ajánlattevő telefaxszáma:</w:t>
            </w:r>
          </w:p>
        </w:tc>
        <w:tc>
          <w:tcPr>
            <w:tcW w:w="5456" w:type="dxa"/>
          </w:tcPr>
          <w:p w:rsidR="00126054" w:rsidRPr="00126054" w:rsidRDefault="00126054" w:rsidP="00126054">
            <w:pPr>
              <w:spacing w:after="0" w:line="280" w:lineRule="exact"/>
              <w:rPr>
                <w:rFonts w:ascii="Times New Roman" w:eastAsia="Times New Roman" w:hAnsi="Times New Roman" w:cs="Times New Roman"/>
                <w:sz w:val="24"/>
                <w:szCs w:val="24"/>
                <w:lang w:eastAsia="hu-HU"/>
              </w:rPr>
            </w:pPr>
          </w:p>
        </w:tc>
      </w:tr>
      <w:tr w:rsidR="00126054" w:rsidRPr="00126054" w:rsidTr="0091524E">
        <w:tc>
          <w:tcPr>
            <w:tcW w:w="3652" w:type="dxa"/>
          </w:tcPr>
          <w:p w:rsidR="00126054" w:rsidRPr="00126054" w:rsidRDefault="00126054" w:rsidP="00126054">
            <w:pPr>
              <w:spacing w:before="60" w:after="0" w:line="240" w:lineRule="auto"/>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ab/>
              <w:t>Ajánlattevő e-mail címe:</w:t>
            </w:r>
          </w:p>
        </w:tc>
        <w:tc>
          <w:tcPr>
            <w:tcW w:w="5456" w:type="dxa"/>
          </w:tcPr>
          <w:p w:rsidR="00126054" w:rsidRPr="00126054" w:rsidRDefault="00126054" w:rsidP="00126054">
            <w:pPr>
              <w:spacing w:after="0" w:line="280" w:lineRule="exact"/>
              <w:rPr>
                <w:rFonts w:ascii="Times New Roman" w:eastAsia="Times New Roman" w:hAnsi="Times New Roman" w:cs="Times New Roman"/>
                <w:sz w:val="24"/>
                <w:szCs w:val="24"/>
                <w:lang w:eastAsia="hu-HU"/>
              </w:rPr>
            </w:pPr>
          </w:p>
        </w:tc>
      </w:tr>
    </w:tbl>
    <w:p w:rsidR="00126054" w:rsidRPr="00126054" w:rsidRDefault="00126054" w:rsidP="00126054">
      <w:pPr>
        <w:spacing w:after="0" w:line="240" w:lineRule="auto"/>
        <w:jc w:val="both"/>
        <w:rPr>
          <w:rFonts w:ascii="Times New Roman" w:eastAsia="Times New Roman" w:hAnsi="Times New Roman" w:cs="Times New Roman"/>
          <w:b/>
          <w:sz w:val="24"/>
          <w:szCs w:val="24"/>
          <w:lang w:eastAsia="hu-HU"/>
        </w:rPr>
      </w:pPr>
    </w:p>
    <w:p w:rsidR="00126054" w:rsidRPr="00126054" w:rsidRDefault="00126054" w:rsidP="00126054">
      <w:pPr>
        <w:spacing w:before="120" w:after="0" w:line="240" w:lineRule="auto"/>
        <w:jc w:val="both"/>
        <w:rPr>
          <w:rFonts w:ascii="Times New Roman" w:eastAsia="Calibri" w:hAnsi="Times New Roman" w:cs="Times New Roman"/>
          <w:i/>
          <w:snapToGrid w:val="0"/>
          <w:sz w:val="24"/>
          <w:szCs w:val="24"/>
        </w:rPr>
      </w:pPr>
      <w:r w:rsidRPr="00126054">
        <w:rPr>
          <w:rFonts w:ascii="Times New Roman" w:eastAsia="Times New Roman" w:hAnsi="Times New Roman" w:cs="Times New Roman"/>
          <w:b/>
          <w:sz w:val="24"/>
          <w:szCs w:val="24"/>
          <w:lang w:eastAsia="hu-HU"/>
        </w:rPr>
        <w:t xml:space="preserve">2. Az ajánlat tárgya: </w:t>
      </w:r>
    </w:p>
    <w:p w:rsidR="00126054" w:rsidRPr="00126054" w:rsidRDefault="00126054" w:rsidP="00126054">
      <w:pPr>
        <w:spacing w:before="120" w:after="0" w:line="240" w:lineRule="auto"/>
        <w:jc w:val="both"/>
        <w:rPr>
          <w:rFonts w:ascii="Times New Roman" w:eastAsia="Times New Roman" w:hAnsi="Times New Roman" w:cs="Times New Roman"/>
          <w:sz w:val="24"/>
          <w:szCs w:val="24"/>
          <w:lang w:eastAsia="hu-HU"/>
        </w:rPr>
      </w:pPr>
    </w:p>
    <w:p w:rsidR="00126054" w:rsidRPr="00126054" w:rsidRDefault="00126054" w:rsidP="00126054">
      <w:pPr>
        <w:numPr>
          <w:ilvl w:val="0"/>
          <w:numId w:val="1"/>
        </w:numPr>
        <w:spacing w:before="60" w:after="60" w:line="280" w:lineRule="exact"/>
        <w:contextualSpacing/>
        <w:rPr>
          <w:rFonts w:ascii="Times New Roman" w:eastAsia="Times New Roman" w:hAnsi="Times New Roman" w:cs="Times New Roman"/>
          <w:b/>
          <w:sz w:val="24"/>
          <w:szCs w:val="24"/>
          <w:lang w:eastAsia="hu-HU"/>
        </w:rPr>
      </w:pPr>
      <w:r w:rsidRPr="00126054">
        <w:rPr>
          <w:rFonts w:ascii="Times New Roman" w:eastAsia="Times New Roman" w:hAnsi="Times New Roman" w:cs="Times New Roman"/>
          <w:b/>
          <w:sz w:val="24"/>
          <w:szCs w:val="24"/>
          <w:lang w:eastAsia="hu-HU"/>
        </w:rPr>
        <w:t>Ajánlati ár az 1. részajánlati körre</w:t>
      </w:r>
    </w:p>
    <w:p w:rsidR="00126054" w:rsidRPr="00126054" w:rsidRDefault="00126054" w:rsidP="00126054">
      <w:pPr>
        <w:spacing w:before="60" w:after="60" w:line="280" w:lineRule="exact"/>
        <w:ind w:left="360"/>
        <w:contextualSpacing/>
        <w:rPr>
          <w:rFonts w:ascii="Times New Roman" w:eastAsia="Times New Roman" w:hAnsi="Times New Roman" w:cs="Times New Roman"/>
          <w:b/>
          <w:sz w:val="24"/>
          <w:szCs w:val="24"/>
          <w:lang w:eastAsia="hu-HU"/>
        </w:rPr>
      </w:pPr>
    </w:p>
    <w:tbl>
      <w:tblPr>
        <w:tblStyle w:val="Rcsostblzat"/>
        <w:tblW w:w="8965" w:type="dxa"/>
        <w:jc w:val="center"/>
        <w:tblLayout w:type="fixed"/>
        <w:tblLook w:val="04A0" w:firstRow="1" w:lastRow="0" w:firstColumn="1" w:lastColumn="0" w:noHBand="0" w:noVBand="1"/>
      </w:tblPr>
      <w:tblGrid>
        <w:gridCol w:w="2282"/>
        <w:gridCol w:w="1971"/>
        <w:gridCol w:w="1121"/>
        <w:gridCol w:w="1799"/>
        <w:gridCol w:w="1792"/>
      </w:tblGrid>
      <w:tr w:rsidR="00126054" w:rsidRPr="00126054" w:rsidTr="0091524E">
        <w:trPr>
          <w:jc w:val="center"/>
        </w:trPr>
        <w:tc>
          <w:tcPr>
            <w:tcW w:w="2282"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Megnevezés</w:t>
            </w:r>
          </w:p>
        </w:tc>
        <w:tc>
          <w:tcPr>
            <w:tcW w:w="1971"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Ajánlati egységár</w:t>
            </w:r>
          </w:p>
          <w:p w:rsidR="00126054" w:rsidRPr="00126054" w:rsidRDefault="00126054" w:rsidP="00126054">
            <w:pPr>
              <w:spacing w:before="60" w:after="60" w:line="280" w:lineRule="exact"/>
              <w:jc w:val="center"/>
              <w:rPr>
                <w:b/>
                <w:sz w:val="24"/>
                <w:szCs w:val="24"/>
              </w:rPr>
            </w:pPr>
            <w:r w:rsidRPr="00126054">
              <w:rPr>
                <w:b/>
                <w:sz w:val="24"/>
                <w:szCs w:val="24"/>
              </w:rPr>
              <w:t>(nettó Ft/db)</w:t>
            </w:r>
          </w:p>
        </w:tc>
        <w:tc>
          <w:tcPr>
            <w:tcW w:w="1121" w:type="dxa"/>
            <w:vAlign w:val="center"/>
          </w:tcPr>
          <w:p w:rsidR="00126054" w:rsidRPr="00126054" w:rsidRDefault="00126054" w:rsidP="00126054">
            <w:pPr>
              <w:spacing w:before="60" w:after="60" w:line="280" w:lineRule="exact"/>
              <w:jc w:val="center"/>
              <w:rPr>
                <w:b/>
                <w:sz w:val="24"/>
                <w:szCs w:val="24"/>
              </w:rPr>
            </w:pPr>
            <w:proofErr w:type="spellStart"/>
            <w:r w:rsidRPr="00126054">
              <w:rPr>
                <w:b/>
                <w:sz w:val="24"/>
                <w:szCs w:val="24"/>
              </w:rPr>
              <w:t>Mennyi-ség</w:t>
            </w:r>
            <w:proofErr w:type="spellEnd"/>
          </w:p>
        </w:tc>
        <w:tc>
          <w:tcPr>
            <w:tcW w:w="1799"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Nettó összár</w:t>
            </w:r>
          </w:p>
          <w:p w:rsidR="00126054" w:rsidRPr="00126054" w:rsidRDefault="00126054" w:rsidP="00126054">
            <w:pPr>
              <w:spacing w:before="60" w:after="60" w:line="280" w:lineRule="exact"/>
              <w:jc w:val="center"/>
              <w:rPr>
                <w:b/>
                <w:sz w:val="24"/>
                <w:szCs w:val="24"/>
              </w:rPr>
            </w:pPr>
            <w:r w:rsidRPr="00126054">
              <w:rPr>
                <w:b/>
                <w:sz w:val="24"/>
                <w:szCs w:val="24"/>
              </w:rPr>
              <w:t>(Ft)</w:t>
            </w:r>
          </w:p>
        </w:tc>
        <w:tc>
          <w:tcPr>
            <w:tcW w:w="1792"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Bruttó összár</w:t>
            </w:r>
          </w:p>
          <w:p w:rsidR="00126054" w:rsidRPr="00126054" w:rsidRDefault="00126054" w:rsidP="00126054">
            <w:pPr>
              <w:spacing w:before="60" w:after="60" w:line="280" w:lineRule="exact"/>
              <w:jc w:val="center"/>
              <w:rPr>
                <w:b/>
                <w:sz w:val="24"/>
                <w:szCs w:val="24"/>
              </w:rPr>
            </w:pPr>
            <w:r w:rsidRPr="00126054">
              <w:rPr>
                <w:b/>
                <w:sz w:val="24"/>
                <w:szCs w:val="24"/>
              </w:rPr>
              <w:t>(Ft)</w:t>
            </w:r>
          </w:p>
        </w:tc>
      </w:tr>
      <w:tr w:rsidR="00126054" w:rsidRPr="00126054" w:rsidTr="0091524E">
        <w:trPr>
          <w:jc w:val="center"/>
        </w:trPr>
        <w:tc>
          <w:tcPr>
            <w:tcW w:w="2282" w:type="dxa"/>
            <w:vAlign w:val="center"/>
          </w:tcPr>
          <w:p w:rsidR="00126054" w:rsidRPr="00126054" w:rsidRDefault="00126054" w:rsidP="00126054">
            <w:pPr>
              <w:spacing w:before="60" w:after="60" w:line="280" w:lineRule="exact"/>
              <w:jc w:val="center"/>
              <w:rPr>
                <w:b/>
                <w:sz w:val="24"/>
                <w:szCs w:val="24"/>
              </w:rPr>
            </w:pPr>
            <w:r w:rsidRPr="00126054">
              <w:rPr>
                <w:i/>
                <w:sz w:val="24"/>
                <w:szCs w:val="24"/>
              </w:rPr>
              <w:t>18 t teherbírású targonca</w:t>
            </w:r>
          </w:p>
        </w:tc>
        <w:tc>
          <w:tcPr>
            <w:tcW w:w="1971" w:type="dxa"/>
            <w:vAlign w:val="center"/>
          </w:tcPr>
          <w:p w:rsidR="00126054" w:rsidRPr="00126054" w:rsidRDefault="00126054" w:rsidP="00126054">
            <w:pPr>
              <w:spacing w:before="60" w:after="60" w:line="280" w:lineRule="exact"/>
              <w:jc w:val="center"/>
              <w:rPr>
                <w:b/>
                <w:sz w:val="24"/>
                <w:szCs w:val="24"/>
              </w:rPr>
            </w:pPr>
          </w:p>
        </w:tc>
        <w:tc>
          <w:tcPr>
            <w:tcW w:w="1121"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2 db</w:t>
            </w:r>
          </w:p>
        </w:tc>
        <w:tc>
          <w:tcPr>
            <w:tcW w:w="1799" w:type="dxa"/>
          </w:tcPr>
          <w:p w:rsidR="00126054" w:rsidRPr="00126054" w:rsidRDefault="00126054" w:rsidP="00126054">
            <w:pPr>
              <w:spacing w:before="60" w:after="60" w:line="280" w:lineRule="exact"/>
              <w:jc w:val="center"/>
              <w:rPr>
                <w:b/>
                <w:sz w:val="24"/>
                <w:szCs w:val="24"/>
              </w:rPr>
            </w:pPr>
          </w:p>
        </w:tc>
        <w:tc>
          <w:tcPr>
            <w:tcW w:w="1792" w:type="dxa"/>
            <w:vAlign w:val="center"/>
          </w:tcPr>
          <w:p w:rsidR="00126054" w:rsidRPr="00126054" w:rsidRDefault="00126054" w:rsidP="00126054">
            <w:pPr>
              <w:spacing w:before="60" w:after="60" w:line="280" w:lineRule="exact"/>
              <w:jc w:val="center"/>
              <w:rPr>
                <w:b/>
                <w:sz w:val="24"/>
                <w:szCs w:val="24"/>
              </w:rPr>
            </w:pPr>
          </w:p>
        </w:tc>
      </w:tr>
    </w:tbl>
    <w:p w:rsidR="00126054" w:rsidRPr="00126054" w:rsidRDefault="00126054" w:rsidP="00126054">
      <w:pPr>
        <w:spacing w:before="60" w:after="60" w:line="280" w:lineRule="exact"/>
        <w:rPr>
          <w:rFonts w:ascii="Times New Roman" w:eastAsia="Times New Roman" w:hAnsi="Times New Roman" w:cs="Times New Roman"/>
          <w:b/>
          <w:sz w:val="24"/>
          <w:szCs w:val="24"/>
          <w:lang w:eastAsia="hu-HU"/>
        </w:rPr>
      </w:pPr>
    </w:p>
    <w:p w:rsidR="00126054" w:rsidRPr="00126054" w:rsidRDefault="00126054" w:rsidP="00126054">
      <w:pPr>
        <w:numPr>
          <w:ilvl w:val="0"/>
          <w:numId w:val="1"/>
        </w:numPr>
        <w:spacing w:before="60" w:after="60" w:line="280" w:lineRule="exact"/>
        <w:contextualSpacing/>
        <w:rPr>
          <w:rFonts w:ascii="Times New Roman" w:eastAsia="Times New Roman" w:hAnsi="Times New Roman" w:cs="Times New Roman"/>
          <w:b/>
          <w:sz w:val="24"/>
          <w:szCs w:val="24"/>
          <w:lang w:eastAsia="hu-HU"/>
        </w:rPr>
      </w:pPr>
      <w:r w:rsidRPr="00126054">
        <w:rPr>
          <w:rFonts w:ascii="Times New Roman" w:eastAsia="Times New Roman" w:hAnsi="Times New Roman" w:cs="Times New Roman"/>
          <w:b/>
          <w:sz w:val="24"/>
          <w:szCs w:val="24"/>
          <w:lang w:eastAsia="hu-HU"/>
        </w:rPr>
        <w:t>Ajánlati ár a 2. részajánlati körre</w:t>
      </w:r>
    </w:p>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tbl>
      <w:tblPr>
        <w:tblStyle w:val="Rcsostblzat"/>
        <w:tblW w:w="8965" w:type="dxa"/>
        <w:jc w:val="center"/>
        <w:tblLayout w:type="fixed"/>
        <w:tblLook w:val="04A0" w:firstRow="1" w:lastRow="0" w:firstColumn="1" w:lastColumn="0" w:noHBand="0" w:noVBand="1"/>
      </w:tblPr>
      <w:tblGrid>
        <w:gridCol w:w="2282"/>
        <w:gridCol w:w="1971"/>
        <w:gridCol w:w="1121"/>
        <w:gridCol w:w="1799"/>
        <w:gridCol w:w="1792"/>
      </w:tblGrid>
      <w:tr w:rsidR="00126054" w:rsidRPr="00126054" w:rsidTr="0091524E">
        <w:trPr>
          <w:jc w:val="center"/>
        </w:trPr>
        <w:tc>
          <w:tcPr>
            <w:tcW w:w="2282"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Megnevezés</w:t>
            </w:r>
          </w:p>
        </w:tc>
        <w:tc>
          <w:tcPr>
            <w:tcW w:w="1971"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Ajánlati egységár</w:t>
            </w:r>
          </w:p>
          <w:p w:rsidR="00126054" w:rsidRPr="00126054" w:rsidRDefault="00126054" w:rsidP="00126054">
            <w:pPr>
              <w:spacing w:before="60" w:after="60" w:line="280" w:lineRule="exact"/>
              <w:jc w:val="center"/>
              <w:rPr>
                <w:b/>
                <w:sz w:val="24"/>
                <w:szCs w:val="24"/>
              </w:rPr>
            </w:pPr>
            <w:r w:rsidRPr="00126054">
              <w:rPr>
                <w:b/>
                <w:sz w:val="24"/>
                <w:szCs w:val="24"/>
              </w:rPr>
              <w:t>(nettó Ft/db)</w:t>
            </w:r>
          </w:p>
        </w:tc>
        <w:tc>
          <w:tcPr>
            <w:tcW w:w="1121" w:type="dxa"/>
            <w:vAlign w:val="center"/>
          </w:tcPr>
          <w:p w:rsidR="00126054" w:rsidRPr="00126054" w:rsidRDefault="00126054" w:rsidP="00126054">
            <w:pPr>
              <w:spacing w:before="60" w:after="60" w:line="280" w:lineRule="exact"/>
              <w:jc w:val="center"/>
              <w:rPr>
                <w:b/>
                <w:sz w:val="24"/>
                <w:szCs w:val="24"/>
              </w:rPr>
            </w:pPr>
            <w:proofErr w:type="spellStart"/>
            <w:r w:rsidRPr="00126054">
              <w:rPr>
                <w:b/>
                <w:sz w:val="24"/>
                <w:szCs w:val="24"/>
              </w:rPr>
              <w:t>Mennyi-ség</w:t>
            </w:r>
            <w:proofErr w:type="spellEnd"/>
          </w:p>
        </w:tc>
        <w:tc>
          <w:tcPr>
            <w:tcW w:w="1799"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Nettó összár</w:t>
            </w:r>
          </w:p>
          <w:p w:rsidR="00126054" w:rsidRPr="00126054" w:rsidRDefault="00126054" w:rsidP="00126054">
            <w:pPr>
              <w:spacing w:before="60" w:after="60" w:line="280" w:lineRule="exact"/>
              <w:jc w:val="center"/>
              <w:rPr>
                <w:b/>
                <w:sz w:val="24"/>
                <w:szCs w:val="24"/>
              </w:rPr>
            </w:pPr>
            <w:r w:rsidRPr="00126054">
              <w:rPr>
                <w:b/>
                <w:sz w:val="24"/>
                <w:szCs w:val="24"/>
              </w:rPr>
              <w:t>(Ft)</w:t>
            </w:r>
          </w:p>
        </w:tc>
        <w:tc>
          <w:tcPr>
            <w:tcW w:w="1792"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Bruttó összár</w:t>
            </w:r>
          </w:p>
          <w:p w:rsidR="00126054" w:rsidRPr="00126054" w:rsidRDefault="00126054" w:rsidP="00126054">
            <w:pPr>
              <w:spacing w:before="60" w:after="60" w:line="280" w:lineRule="exact"/>
              <w:jc w:val="center"/>
              <w:rPr>
                <w:b/>
                <w:sz w:val="24"/>
                <w:szCs w:val="24"/>
              </w:rPr>
            </w:pPr>
            <w:r w:rsidRPr="00126054">
              <w:rPr>
                <w:b/>
                <w:sz w:val="24"/>
                <w:szCs w:val="24"/>
              </w:rPr>
              <w:t>(Ft)</w:t>
            </w:r>
          </w:p>
        </w:tc>
      </w:tr>
      <w:tr w:rsidR="00126054" w:rsidRPr="00126054" w:rsidTr="0091524E">
        <w:trPr>
          <w:jc w:val="center"/>
        </w:trPr>
        <w:tc>
          <w:tcPr>
            <w:tcW w:w="2282" w:type="dxa"/>
            <w:vAlign w:val="center"/>
          </w:tcPr>
          <w:p w:rsidR="00126054" w:rsidRPr="00126054" w:rsidRDefault="00126054" w:rsidP="00126054">
            <w:pPr>
              <w:spacing w:before="60" w:after="60" w:line="280" w:lineRule="exact"/>
              <w:jc w:val="center"/>
              <w:rPr>
                <w:b/>
                <w:sz w:val="24"/>
                <w:szCs w:val="24"/>
              </w:rPr>
            </w:pPr>
            <w:r w:rsidRPr="00126054">
              <w:rPr>
                <w:i/>
                <w:sz w:val="24"/>
                <w:szCs w:val="24"/>
              </w:rPr>
              <w:t>50 t teherbírású targoncaszállító félpótkocsi</w:t>
            </w:r>
          </w:p>
        </w:tc>
        <w:tc>
          <w:tcPr>
            <w:tcW w:w="1971" w:type="dxa"/>
            <w:vAlign w:val="center"/>
          </w:tcPr>
          <w:p w:rsidR="00126054" w:rsidRPr="00126054" w:rsidRDefault="00126054" w:rsidP="00126054">
            <w:pPr>
              <w:spacing w:before="60" w:after="60" w:line="280" w:lineRule="exact"/>
              <w:jc w:val="center"/>
              <w:rPr>
                <w:b/>
                <w:sz w:val="24"/>
                <w:szCs w:val="24"/>
              </w:rPr>
            </w:pPr>
          </w:p>
        </w:tc>
        <w:tc>
          <w:tcPr>
            <w:tcW w:w="1121" w:type="dxa"/>
            <w:vAlign w:val="center"/>
          </w:tcPr>
          <w:p w:rsidR="00126054" w:rsidRPr="00126054" w:rsidRDefault="00126054" w:rsidP="00126054">
            <w:pPr>
              <w:spacing w:before="60" w:after="60" w:line="280" w:lineRule="exact"/>
              <w:jc w:val="center"/>
              <w:rPr>
                <w:b/>
                <w:sz w:val="24"/>
                <w:szCs w:val="24"/>
              </w:rPr>
            </w:pPr>
            <w:r w:rsidRPr="00126054">
              <w:rPr>
                <w:b/>
                <w:sz w:val="24"/>
                <w:szCs w:val="24"/>
              </w:rPr>
              <w:t>2 db</w:t>
            </w:r>
          </w:p>
        </w:tc>
        <w:tc>
          <w:tcPr>
            <w:tcW w:w="1799" w:type="dxa"/>
          </w:tcPr>
          <w:p w:rsidR="00126054" w:rsidRPr="00126054" w:rsidRDefault="00126054" w:rsidP="00126054">
            <w:pPr>
              <w:spacing w:before="60" w:after="60" w:line="280" w:lineRule="exact"/>
              <w:jc w:val="center"/>
              <w:rPr>
                <w:b/>
                <w:sz w:val="24"/>
                <w:szCs w:val="24"/>
              </w:rPr>
            </w:pPr>
          </w:p>
        </w:tc>
        <w:tc>
          <w:tcPr>
            <w:tcW w:w="1792" w:type="dxa"/>
            <w:vAlign w:val="center"/>
          </w:tcPr>
          <w:p w:rsidR="00126054" w:rsidRPr="00126054" w:rsidRDefault="00126054" w:rsidP="00126054">
            <w:pPr>
              <w:spacing w:before="60" w:after="60" w:line="280" w:lineRule="exact"/>
              <w:jc w:val="center"/>
              <w:rPr>
                <w:b/>
                <w:sz w:val="24"/>
                <w:szCs w:val="24"/>
              </w:rPr>
            </w:pPr>
          </w:p>
        </w:tc>
      </w:tr>
    </w:tbl>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p>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Kelt:</w:t>
      </w:r>
    </w:p>
    <w:p w:rsidR="00126054" w:rsidRPr="00126054" w:rsidRDefault="00126054" w:rsidP="00126054">
      <w:pPr>
        <w:spacing w:before="60" w:after="60" w:line="280" w:lineRule="exact"/>
        <w:rPr>
          <w:rFonts w:ascii="Times New Roman" w:eastAsia="Times New Roman" w:hAnsi="Times New Roman" w:cs="Times New Roman"/>
          <w:sz w:val="24"/>
          <w:szCs w:val="24"/>
          <w:lang w:eastAsia="hu-HU"/>
        </w:rPr>
      </w:pPr>
      <w:bookmarkStart w:id="0" w:name="_GoBack"/>
      <w:bookmarkEnd w:id="0"/>
    </w:p>
    <w:p w:rsidR="00126054" w:rsidRPr="00126054" w:rsidRDefault="00126054" w:rsidP="00126054">
      <w:pPr>
        <w:suppressAutoHyphens/>
        <w:spacing w:after="0" w:line="240" w:lineRule="auto"/>
        <w:jc w:val="right"/>
        <w:rPr>
          <w:rFonts w:ascii="Times New Roman" w:eastAsia="Times New Roman" w:hAnsi="Times New Roman" w:cs="Times New Roman"/>
          <w:sz w:val="24"/>
          <w:szCs w:val="24"/>
          <w:lang w:eastAsia="hu-HU"/>
        </w:rPr>
      </w:pPr>
      <w:r w:rsidRPr="00126054">
        <w:rPr>
          <w:rFonts w:ascii="Times New Roman" w:eastAsia="Times New Roman" w:hAnsi="Times New Roman" w:cs="Times New Roman"/>
          <w:sz w:val="24"/>
          <w:szCs w:val="24"/>
          <w:lang w:eastAsia="hu-HU"/>
        </w:rPr>
        <w:t>______________________</w:t>
      </w:r>
    </w:p>
    <w:p w:rsidR="00E965E7" w:rsidRDefault="00126054" w:rsidP="00126054">
      <w:pPr>
        <w:ind w:left="6237"/>
        <w:jc w:val="center"/>
      </w:pPr>
      <w:r w:rsidRPr="00126054">
        <w:rPr>
          <w:rFonts w:ascii="Times New Roman" w:eastAsia="Times New Roman" w:hAnsi="Times New Roman" w:cs="Times New Roman"/>
          <w:sz w:val="24"/>
          <w:szCs w:val="24"/>
          <w:lang w:eastAsia="hu-HU"/>
        </w:rPr>
        <w:t>Cégszerű aláírás</w:t>
      </w:r>
    </w:p>
    <w:sectPr w:rsidR="00E96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54" w:rsidRDefault="00126054" w:rsidP="00126054">
      <w:pPr>
        <w:spacing w:after="0" w:line="240" w:lineRule="auto"/>
      </w:pPr>
      <w:r>
        <w:separator/>
      </w:r>
    </w:p>
  </w:endnote>
  <w:endnote w:type="continuationSeparator" w:id="0">
    <w:p w:rsidR="00126054" w:rsidRDefault="00126054" w:rsidP="0012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54" w:rsidRDefault="00126054" w:rsidP="00126054">
      <w:pPr>
        <w:spacing w:after="0" w:line="240" w:lineRule="auto"/>
      </w:pPr>
      <w:r>
        <w:separator/>
      </w:r>
    </w:p>
  </w:footnote>
  <w:footnote w:type="continuationSeparator" w:id="0">
    <w:p w:rsidR="00126054" w:rsidRDefault="00126054" w:rsidP="00126054">
      <w:pPr>
        <w:spacing w:after="0" w:line="240" w:lineRule="auto"/>
      </w:pPr>
      <w:r>
        <w:continuationSeparator/>
      </w:r>
    </w:p>
  </w:footnote>
  <w:footnote w:id="1">
    <w:p w:rsidR="00126054" w:rsidRDefault="00126054" w:rsidP="00126054">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126054" w:rsidRPr="00D04653" w:rsidRDefault="00126054" w:rsidP="00126054">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D8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54"/>
    <w:rsid w:val="00126054"/>
    <w:rsid w:val="00E965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260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1260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12605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126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260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1260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12605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126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635</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Ballai Péter</cp:lastModifiedBy>
  <cp:revision>1</cp:revision>
  <dcterms:created xsi:type="dcterms:W3CDTF">2015-10-21T13:29:00Z</dcterms:created>
  <dcterms:modified xsi:type="dcterms:W3CDTF">2015-10-21T13:30:00Z</dcterms:modified>
</cp:coreProperties>
</file>