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0F" w:rsidRDefault="00CB380F" w:rsidP="00CB380F">
      <w:pPr>
        <w:spacing w:after="120"/>
        <w:ind w:left="360"/>
        <w:jc w:val="center"/>
        <w:rPr>
          <w:b/>
          <w:bCs/>
          <w:iCs/>
          <w:color w:val="222222"/>
        </w:rPr>
      </w:pPr>
      <w:r>
        <w:rPr>
          <w:b/>
        </w:rPr>
        <w:t>2</w:t>
      </w:r>
      <w:r w:rsidRPr="00A12C61">
        <w:rPr>
          <w:b/>
        </w:rPr>
        <w:t xml:space="preserve">. </w:t>
      </w:r>
      <w:r>
        <w:rPr>
          <w:b/>
        </w:rPr>
        <w:t xml:space="preserve">sz. </w:t>
      </w:r>
      <w:r w:rsidRPr="00A12C61">
        <w:rPr>
          <w:b/>
          <w:bCs/>
          <w:iCs/>
          <w:color w:val="222222"/>
        </w:rPr>
        <w:t>minta</w:t>
      </w:r>
    </w:p>
    <w:p w:rsidR="00CB380F" w:rsidRPr="009E784B" w:rsidRDefault="00CB380F" w:rsidP="00CB380F">
      <w:pPr>
        <w:spacing w:after="120"/>
        <w:jc w:val="center"/>
        <w:rPr>
          <w:b/>
          <w:bCs/>
          <w:color w:val="000000"/>
        </w:rPr>
      </w:pPr>
      <w:r w:rsidRPr="009E784B">
        <w:rPr>
          <w:rFonts w:eastAsia="Calibri"/>
          <w:b/>
          <w:caps/>
        </w:rPr>
        <w:t>az ajánlattevő által Az ajánlat részeként benyújtandó nyilatkozatok mintája</w:t>
      </w:r>
    </w:p>
    <w:p w:rsidR="00CB380F" w:rsidRPr="009E784B" w:rsidRDefault="00CB380F" w:rsidP="00CB380F">
      <w:pPr>
        <w:spacing w:after="120"/>
        <w:jc w:val="center"/>
        <w:rPr>
          <w:b/>
          <w:bCs/>
          <w:color w:val="000000"/>
        </w:rPr>
      </w:pPr>
      <w:r w:rsidRPr="009E784B">
        <w:rPr>
          <w:b/>
          <w:bCs/>
          <w:color w:val="000000"/>
        </w:rPr>
        <w:t>NYILATKOZAT</w:t>
      </w:r>
    </w:p>
    <w:p w:rsidR="00CB380F" w:rsidRPr="009E784B" w:rsidRDefault="00CB380F" w:rsidP="00CB380F">
      <w:pPr>
        <w:spacing w:after="120"/>
        <w:jc w:val="center"/>
        <w:rPr>
          <w:b/>
        </w:rPr>
      </w:pPr>
      <w:proofErr w:type="gramStart"/>
      <w:r w:rsidRPr="009E784B">
        <w:rPr>
          <w:b/>
          <w:color w:val="000000"/>
        </w:rPr>
        <w:t>a</w:t>
      </w:r>
      <w:proofErr w:type="gramEnd"/>
      <w:r w:rsidRPr="009E784B">
        <w:rPr>
          <w:b/>
          <w:color w:val="000000"/>
        </w:rPr>
        <w:t xml:space="preserve"> nemzeti vagyonról szóló 2011. évi CXCVI. törvény átlátható szervezet fogalmára vonatkozó feltételeknek való megfelelésről</w:t>
      </w:r>
      <w:r w:rsidRPr="009E784B">
        <w:rPr>
          <w:b/>
        </w:rPr>
        <w:t xml:space="preserve"> </w:t>
      </w:r>
    </w:p>
    <w:p w:rsidR="00CB380F" w:rsidRPr="009E784B" w:rsidRDefault="00CB380F" w:rsidP="00CB380F">
      <w:pPr>
        <w:spacing w:after="120"/>
        <w:jc w:val="center"/>
        <w:rPr>
          <w:b/>
        </w:rPr>
      </w:pPr>
      <w:r w:rsidRPr="009E784B">
        <w:rPr>
          <w:b/>
        </w:rPr>
        <w:t>MINTA</w:t>
      </w:r>
    </w:p>
    <w:p w:rsidR="00CB380F" w:rsidRPr="009E784B" w:rsidRDefault="00CB380F" w:rsidP="00CB380F">
      <w:pPr>
        <w:spacing w:after="120"/>
        <w:jc w:val="both"/>
        <w:rPr>
          <w:color w:val="000000"/>
        </w:rPr>
      </w:pPr>
    </w:p>
    <w:p w:rsidR="00CB380F" w:rsidRPr="009E784B" w:rsidRDefault="00CB380F" w:rsidP="00CB380F">
      <w:pPr>
        <w:spacing w:after="120"/>
        <w:jc w:val="both"/>
        <w:rPr>
          <w:color w:val="000000"/>
        </w:rPr>
      </w:pPr>
      <w:proofErr w:type="gramStart"/>
      <w:r w:rsidRPr="009E784B">
        <w:rPr>
          <w:color w:val="000000"/>
        </w:rPr>
        <w:t>Alulírott .</w:t>
      </w:r>
      <w:proofErr w:type="gramEnd"/>
      <w:r w:rsidRPr="009E784B">
        <w:rPr>
          <w:color w:val="000000"/>
        </w:rPr>
        <w:t>..................................................., mint a(z) ..................................................................</w:t>
      </w:r>
    </w:p>
    <w:p w:rsidR="00CB380F" w:rsidRPr="009E784B" w:rsidRDefault="00CB380F" w:rsidP="00CB380F">
      <w:pPr>
        <w:spacing w:after="120"/>
        <w:jc w:val="both"/>
        <w:rPr>
          <w:color w:val="000000"/>
        </w:rPr>
      </w:pPr>
      <w:r w:rsidRPr="009E784B">
        <w:rPr>
          <w:color w:val="000000"/>
        </w:rPr>
        <w:t>(székhely</w:t>
      </w:r>
      <w:proofErr w:type="gramStart"/>
      <w:r w:rsidRPr="009E784B">
        <w:rPr>
          <w:color w:val="000000"/>
        </w:rPr>
        <w:t>: ..</w:t>
      </w:r>
      <w:proofErr w:type="gramEnd"/>
      <w:r w:rsidRPr="009E784B">
        <w:rPr>
          <w:color w:val="000000"/>
        </w:rPr>
        <w:t xml:space="preserve">............................................................. </w:t>
      </w:r>
      <w:proofErr w:type="gramStart"/>
      <w:r w:rsidRPr="009E784B">
        <w:rPr>
          <w:color w:val="000000"/>
        </w:rPr>
        <w:t>cégbejegyzésre</w:t>
      </w:r>
      <w:proofErr w:type="gramEnd"/>
      <w:r w:rsidRPr="009E784B">
        <w:rPr>
          <w:color w:val="000000"/>
        </w:rPr>
        <w:t xml:space="preserve">/aláírásra jogosult képviselője, jelen okirat aláírásával, ezennel büntetőjogi felelősségem tudatában </w:t>
      </w:r>
    </w:p>
    <w:p w:rsidR="00CB380F" w:rsidRPr="009E784B" w:rsidRDefault="00CB380F" w:rsidP="00CB380F">
      <w:pPr>
        <w:spacing w:before="240" w:after="240"/>
        <w:jc w:val="both"/>
        <w:rPr>
          <w:b/>
          <w:color w:val="000000"/>
        </w:rPr>
      </w:pPr>
      <w:proofErr w:type="gramStart"/>
      <w:r w:rsidRPr="009E784B">
        <w:rPr>
          <w:b/>
          <w:color w:val="000000"/>
        </w:rPr>
        <w:t>nyilatkozom</w:t>
      </w:r>
      <w:proofErr w:type="gramEnd"/>
    </w:p>
    <w:p w:rsidR="00CB380F" w:rsidRPr="009E784B" w:rsidRDefault="00CB380F" w:rsidP="00CB380F">
      <w:pPr>
        <w:spacing w:after="120"/>
        <w:jc w:val="both"/>
        <w:rPr>
          <w:color w:val="000000"/>
        </w:rPr>
      </w:pPr>
      <w:proofErr w:type="gramStart"/>
      <w:r w:rsidRPr="009E784B">
        <w:rPr>
          <w:color w:val="000000"/>
        </w:rPr>
        <w:t>arról</w:t>
      </w:r>
      <w:proofErr w:type="gramEnd"/>
      <w:r w:rsidRPr="009E784B">
        <w:rPr>
          <w:color w:val="000000"/>
        </w:rPr>
        <w:t xml:space="preserve">, hogy a(z) (teljes név) ........................................................................ </w:t>
      </w:r>
      <w:proofErr w:type="gramStart"/>
      <w:r w:rsidRPr="009E784B">
        <w:rPr>
          <w:color w:val="000000"/>
        </w:rPr>
        <w:t>a</w:t>
      </w:r>
      <w:proofErr w:type="gramEnd"/>
      <w:r w:rsidRPr="009E784B">
        <w:rPr>
          <w:color w:val="000000"/>
        </w:rPr>
        <w:t xml:space="preserve"> nemzeti vagyonról</w:t>
      </w:r>
    </w:p>
    <w:p w:rsidR="00CB380F" w:rsidRPr="009E784B" w:rsidRDefault="00CB380F" w:rsidP="00CB380F">
      <w:pPr>
        <w:spacing w:after="120"/>
        <w:jc w:val="both"/>
        <w:rPr>
          <w:color w:val="000000"/>
        </w:rPr>
      </w:pPr>
      <w:proofErr w:type="gramStart"/>
      <w:r w:rsidRPr="009E784B">
        <w:rPr>
          <w:color w:val="000000"/>
        </w:rPr>
        <w:t>szóló</w:t>
      </w:r>
      <w:proofErr w:type="gramEnd"/>
      <w:r w:rsidRPr="009E784B">
        <w:rPr>
          <w:color w:val="000000"/>
        </w:rPr>
        <w:t xml:space="preserve"> 201l. évi CXCVI törvény 3. § </w:t>
      </w:r>
      <w:proofErr w:type="gramStart"/>
      <w:r w:rsidRPr="009E784B">
        <w:rPr>
          <w:color w:val="000000"/>
        </w:rPr>
        <w:t>( l</w:t>
      </w:r>
      <w:proofErr w:type="gramEnd"/>
      <w:r w:rsidRPr="009E784B">
        <w:rPr>
          <w:color w:val="000000"/>
        </w:rPr>
        <w:t xml:space="preserve"> ) bekezdésének 1.  pontja</w:t>
      </w:r>
      <w:r w:rsidRPr="009E784B">
        <w:rPr>
          <w:color w:val="000000"/>
          <w:vertAlign w:val="superscript"/>
        </w:rPr>
        <w:footnoteReference w:id="1"/>
      </w:r>
      <w:r w:rsidRPr="009E784B">
        <w:rPr>
          <w:color w:val="000000"/>
        </w:rPr>
        <w:t xml:space="preserve"> alapján átlátható szervezetnek minősül, egyidejűleg az azt alátámasztó dokumentumok másolatát nyilatkozatomhoz csatolom.</w:t>
      </w:r>
    </w:p>
    <w:p w:rsidR="00CB380F" w:rsidRPr="009E784B" w:rsidRDefault="00CB380F" w:rsidP="00CB380F">
      <w:pPr>
        <w:spacing w:after="120"/>
        <w:jc w:val="both"/>
        <w:rPr>
          <w:color w:val="000000"/>
        </w:rPr>
      </w:pPr>
      <w:r w:rsidRPr="009E784B">
        <w:rPr>
          <w:color w:val="000000"/>
        </w:rPr>
        <w:t>Kelt:</w:t>
      </w:r>
    </w:p>
    <w:p w:rsidR="00CB380F" w:rsidRPr="009E784B" w:rsidRDefault="00CB380F" w:rsidP="00CB380F">
      <w:pPr>
        <w:spacing w:after="120"/>
        <w:jc w:val="center"/>
        <w:rPr>
          <w:color w:val="000000"/>
        </w:rPr>
      </w:pPr>
      <w:r w:rsidRPr="009E784B">
        <w:rPr>
          <w:color w:val="000000"/>
        </w:rPr>
        <w:t>P. H.</w:t>
      </w:r>
    </w:p>
    <w:p w:rsidR="00CB380F" w:rsidRPr="009E784B" w:rsidRDefault="00CB380F" w:rsidP="00CB380F">
      <w:pPr>
        <w:spacing w:after="120"/>
        <w:jc w:val="right"/>
        <w:rPr>
          <w:color w:val="000000"/>
        </w:rPr>
      </w:pPr>
      <w:r w:rsidRPr="009E784B">
        <w:rPr>
          <w:color w:val="000000"/>
        </w:rPr>
        <w:tab/>
      </w:r>
      <w:r w:rsidRPr="009E784B">
        <w:rPr>
          <w:color w:val="000000"/>
        </w:rPr>
        <w:tab/>
        <w:t>...................................................</w:t>
      </w:r>
    </w:p>
    <w:p w:rsidR="00CB380F" w:rsidRPr="009E784B" w:rsidRDefault="00CB380F" w:rsidP="00CB380F">
      <w:pPr>
        <w:spacing w:after="120"/>
        <w:jc w:val="both"/>
        <w:rPr>
          <w:color w:val="000000"/>
        </w:rPr>
      </w:pPr>
      <w:r w:rsidRPr="009E784B">
        <w:rPr>
          <w:color w:val="000000"/>
        </w:rPr>
        <w:tab/>
      </w:r>
      <w:r w:rsidRPr="009E784B">
        <w:rPr>
          <w:color w:val="000000"/>
        </w:rPr>
        <w:tab/>
      </w:r>
      <w:r w:rsidRPr="009E784B">
        <w:rPr>
          <w:color w:val="000000"/>
        </w:rPr>
        <w:tab/>
      </w:r>
      <w:r w:rsidRPr="009E784B">
        <w:rPr>
          <w:color w:val="000000"/>
        </w:rPr>
        <w:tab/>
      </w:r>
      <w:r w:rsidRPr="009E784B">
        <w:rPr>
          <w:color w:val="000000"/>
        </w:rPr>
        <w:tab/>
      </w:r>
      <w:r w:rsidRPr="009E784B">
        <w:rPr>
          <w:color w:val="000000"/>
        </w:rPr>
        <w:tab/>
      </w:r>
      <w:r w:rsidRPr="009E784B">
        <w:rPr>
          <w:color w:val="000000"/>
        </w:rPr>
        <w:tab/>
      </w:r>
      <w:r w:rsidRPr="009E784B">
        <w:rPr>
          <w:color w:val="000000"/>
        </w:rPr>
        <w:tab/>
        <w:t xml:space="preserve">      </w:t>
      </w:r>
      <w:proofErr w:type="gramStart"/>
      <w:r w:rsidRPr="009E784B">
        <w:rPr>
          <w:color w:val="000000"/>
        </w:rPr>
        <w:t>cégjegyzésre</w:t>
      </w:r>
      <w:proofErr w:type="gramEnd"/>
      <w:r w:rsidRPr="009E784B">
        <w:rPr>
          <w:color w:val="000000"/>
        </w:rPr>
        <w:t>/aláírásra jogosult</w:t>
      </w:r>
    </w:p>
    <w:p w:rsidR="00CB380F" w:rsidRPr="009E784B" w:rsidRDefault="00CB380F" w:rsidP="00CB380F">
      <w:pPr>
        <w:rPr>
          <w:b/>
          <w:color w:val="000000"/>
        </w:rPr>
      </w:pPr>
      <w:r w:rsidRPr="009E784B">
        <w:rPr>
          <w:b/>
          <w:color w:val="000000"/>
        </w:rPr>
        <w:br w:type="page"/>
      </w:r>
    </w:p>
    <w:p w:rsidR="00CB380F" w:rsidRPr="009E784B" w:rsidRDefault="00CB380F" w:rsidP="00CB380F">
      <w:pPr>
        <w:jc w:val="center"/>
        <w:rPr>
          <w:b/>
          <w:color w:val="000000"/>
        </w:rPr>
      </w:pPr>
      <w:r w:rsidRPr="009E784B">
        <w:rPr>
          <w:b/>
          <w:color w:val="000000"/>
        </w:rPr>
        <w:lastRenderedPageBreak/>
        <w:t>Az átláthatósági nyilatkozathoz csatolandó adatok, vagy azokat alátámasztó dokumentumok az államháztartásról szóló 2011. évi CXCV. törvény alapján</w:t>
      </w:r>
    </w:p>
    <w:p w:rsidR="00CB380F" w:rsidRPr="009E784B" w:rsidRDefault="00CB380F" w:rsidP="00CB380F">
      <w:pPr>
        <w:jc w:val="both"/>
        <w:rPr>
          <w:color w:val="000000"/>
        </w:rPr>
      </w:pPr>
    </w:p>
    <w:p w:rsidR="00CB380F" w:rsidRPr="009E784B" w:rsidRDefault="00CB380F" w:rsidP="00CB380F">
      <w:pPr>
        <w:jc w:val="center"/>
        <w:rPr>
          <w:b/>
          <w:i/>
          <w:color w:val="000000"/>
        </w:rPr>
      </w:pPr>
      <w:r w:rsidRPr="009E784B">
        <w:rPr>
          <w:b/>
          <w:i/>
          <w:color w:val="000000"/>
        </w:rPr>
        <w:t>A nemzeti vagyonról szóló 2011. évi CXCVI törvény 3. § (1) bekezdésének 1. pont b) alpontja szerinti gazdálkodó szervezetek esetében</w:t>
      </w:r>
    </w:p>
    <w:p w:rsidR="00CB380F" w:rsidRPr="009E784B" w:rsidRDefault="00CB380F" w:rsidP="00CB380F">
      <w:pPr>
        <w:jc w:val="both"/>
        <w:rPr>
          <w:color w:val="000000"/>
        </w:rPr>
      </w:pPr>
    </w:p>
    <w:p w:rsidR="00CB380F" w:rsidRPr="009E784B" w:rsidRDefault="00CB380F" w:rsidP="00CB380F">
      <w:pPr>
        <w:widowControl w:val="0"/>
        <w:tabs>
          <w:tab w:val="num" w:pos="0"/>
        </w:tabs>
        <w:overflowPunct w:val="0"/>
        <w:autoSpaceDE w:val="0"/>
        <w:autoSpaceDN w:val="0"/>
        <w:adjustRightInd w:val="0"/>
        <w:jc w:val="both"/>
        <w:rPr>
          <w:color w:val="000000"/>
        </w:rPr>
      </w:pPr>
      <w:proofErr w:type="gramStart"/>
      <w:r w:rsidRPr="009E784B">
        <w:rPr>
          <w:color w:val="000000"/>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9E784B">
        <w:rPr>
          <w:color w:val="000000"/>
        </w:rPr>
        <w:t xml:space="preserve"> </w:t>
      </w:r>
    </w:p>
    <w:p w:rsidR="00CB380F" w:rsidRPr="009E784B" w:rsidRDefault="00CB380F" w:rsidP="00CB380F">
      <w:pPr>
        <w:widowControl w:val="0"/>
        <w:tabs>
          <w:tab w:val="num" w:pos="0"/>
        </w:tabs>
        <w:overflowPunct w:val="0"/>
        <w:autoSpaceDE w:val="0"/>
        <w:autoSpaceDN w:val="0"/>
        <w:adjustRightInd w:val="0"/>
        <w:jc w:val="both"/>
        <w:rPr>
          <w:color w:val="000000"/>
        </w:rPr>
      </w:pPr>
    </w:p>
    <w:p w:rsidR="00CB380F" w:rsidRPr="009E784B" w:rsidRDefault="00CB380F" w:rsidP="00CB380F">
      <w:pPr>
        <w:widowControl w:val="0"/>
        <w:numPr>
          <w:ilvl w:val="0"/>
          <w:numId w:val="3"/>
        </w:numPr>
        <w:overflowPunct w:val="0"/>
        <w:autoSpaceDE w:val="0"/>
        <w:autoSpaceDN w:val="0"/>
        <w:adjustRightInd w:val="0"/>
        <w:jc w:val="both"/>
        <w:rPr>
          <w:color w:val="000000"/>
        </w:rPr>
      </w:pPr>
      <w:r w:rsidRPr="009E784B">
        <w:rPr>
          <w:color w:val="000000"/>
        </w:rPr>
        <w:t xml:space="preserve">tulajdonosi szerkezete, a pénzmosás és a terrorizmus finanszírozása megelőzéséről és megakadályozásáról szóló törvény szerint meghatározott tényleges tulajdonosa megismerhető, </w:t>
      </w:r>
      <w:r w:rsidRPr="009E784B">
        <w:rPr>
          <w:color w:val="000000"/>
          <w:u w:val="single"/>
        </w:rPr>
        <w:t>amelyről az 1. pontban nyilatkozom</w:t>
      </w:r>
      <w:r w:rsidRPr="009E784B">
        <w:rPr>
          <w:color w:val="000000"/>
        </w:rPr>
        <w:t xml:space="preserve">, és </w:t>
      </w:r>
    </w:p>
    <w:p w:rsidR="00CB380F" w:rsidRPr="009E784B" w:rsidRDefault="00CB380F" w:rsidP="00CB380F">
      <w:pPr>
        <w:widowControl w:val="0"/>
        <w:numPr>
          <w:ilvl w:val="0"/>
          <w:numId w:val="3"/>
        </w:numPr>
        <w:overflowPunct w:val="0"/>
        <w:autoSpaceDE w:val="0"/>
        <w:autoSpaceDN w:val="0"/>
        <w:adjustRightInd w:val="0"/>
        <w:jc w:val="both"/>
        <w:rPr>
          <w:color w:val="000000"/>
        </w:rPr>
      </w:pPr>
      <w:proofErr w:type="gramStart"/>
      <w:r w:rsidRPr="009E784B">
        <w:rPr>
          <w:color w:val="000000"/>
        </w:rPr>
        <w:t>adóilletősége …</w:t>
      </w:r>
      <w:proofErr w:type="gramEnd"/>
      <w:r w:rsidRPr="009E784B">
        <w:rPr>
          <w:color w:val="000000"/>
        </w:rPr>
        <w:t xml:space="preserve">…………….…..országban </w:t>
      </w:r>
      <w:r w:rsidRPr="009E784B">
        <w:rPr>
          <w:b/>
          <w:color w:val="000000"/>
        </w:rPr>
        <w:t>[ország megnevezése]</w:t>
      </w:r>
      <w:r w:rsidRPr="009E784B">
        <w:rPr>
          <w:color w:val="000000"/>
        </w:rPr>
        <w:t xml:space="preserve"> található</w:t>
      </w:r>
      <w:r w:rsidRPr="009E784B">
        <w:rPr>
          <w:color w:val="000000"/>
          <w:szCs w:val="20"/>
          <w:vertAlign w:val="superscript"/>
        </w:rPr>
        <w:footnoteReference w:id="2"/>
      </w:r>
      <w:r w:rsidRPr="009E784B">
        <w:rPr>
          <w:color w:val="000000"/>
        </w:rPr>
        <w:t>, amely</w:t>
      </w:r>
    </w:p>
    <w:p w:rsidR="00CB380F" w:rsidRPr="009E784B" w:rsidRDefault="00CB380F" w:rsidP="00CB380F">
      <w:pPr>
        <w:widowControl w:val="0"/>
        <w:overflowPunct w:val="0"/>
        <w:autoSpaceDE w:val="0"/>
        <w:autoSpaceDN w:val="0"/>
        <w:adjustRightInd w:val="0"/>
        <w:ind w:left="720"/>
        <w:jc w:val="both"/>
        <w:rPr>
          <w:color w:val="000000"/>
        </w:rPr>
      </w:pPr>
      <w:r w:rsidRPr="009E784B">
        <w:rPr>
          <w:b/>
          <w:color w:val="000000"/>
        </w:rPr>
        <w:t>[a megfelelő aláhúzandó]</w:t>
      </w:r>
      <w:r w:rsidRPr="009E784B">
        <w:rPr>
          <w:color w:val="000000"/>
        </w:rPr>
        <w:t>,</w:t>
      </w:r>
    </w:p>
    <w:p w:rsidR="00CB380F" w:rsidRPr="009E784B" w:rsidRDefault="00CB380F" w:rsidP="00CB380F">
      <w:pPr>
        <w:widowControl w:val="0"/>
        <w:numPr>
          <w:ilvl w:val="0"/>
          <w:numId w:val="2"/>
        </w:numPr>
        <w:tabs>
          <w:tab w:val="num" w:pos="1260"/>
        </w:tabs>
        <w:overflowPunct w:val="0"/>
        <w:autoSpaceDE w:val="0"/>
        <w:autoSpaceDN w:val="0"/>
        <w:adjustRightInd w:val="0"/>
        <w:ind w:left="1260"/>
        <w:jc w:val="both"/>
        <w:rPr>
          <w:color w:val="000000"/>
        </w:rPr>
      </w:pPr>
      <w:r w:rsidRPr="009E784B">
        <w:rPr>
          <w:color w:val="000000"/>
        </w:rPr>
        <w:t xml:space="preserve">az Európai Unió tagállama, </w:t>
      </w:r>
    </w:p>
    <w:p w:rsidR="00CB380F" w:rsidRPr="009E784B" w:rsidRDefault="00CB380F" w:rsidP="00CB380F">
      <w:pPr>
        <w:widowControl w:val="0"/>
        <w:numPr>
          <w:ilvl w:val="0"/>
          <w:numId w:val="2"/>
        </w:numPr>
        <w:tabs>
          <w:tab w:val="num" w:pos="1260"/>
        </w:tabs>
        <w:overflowPunct w:val="0"/>
        <w:autoSpaceDE w:val="0"/>
        <w:autoSpaceDN w:val="0"/>
        <w:adjustRightInd w:val="0"/>
        <w:ind w:left="1260"/>
        <w:jc w:val="both"/>
        <w:rPr>
          <w:color w:val="000000"/>
        </w:rPr>
      </w:pPr>
      <w:r w:rsidRPr="009E784B">
        <w:rPr>
          <w:color w:val="000000"/>
        </w:rPr>
        <w:t xml:space="preserve">az Európai Gazdasági Térségről szóló megállapodásban részes állama, </w:t>
      </w:r>
    </w:p>
    <w:p w:rsidR="00CB380F" w:rsidRPr="009E784B" w:rsidRDefault="00CB380F" w:rsidP="00CB380F">
      <w:pPr>
        <w:widowControl w:val="0"/>
        <w:numPr>
          <w:ilvl w:val="0"/>
          <w:numId w:val="2"/>
        </w:numPr>
        <w:tabs>
          <w:tab w:val="num" w:pos="1260"/>
        </w:tabs>
        <w:overflowPunct w:val="0"/>
        <w:autoSpaceDE w:val="0"/>
        <w:autoSpaceDN w:val="0"/>
        <w:adjustRightInd w:val="0"/>
        <w:ind w:left="1260"/>
        <w:jc w:val="both"/>
        <w:rPr>
          <w:color w:val="000000"/>
        </w:rPr>
      </w:pPr>
      <w:r w:rsidRPr="009E784B">
        <w:rPr>
          <w:color w:val="000000"/>
        </w:rPr>
        <w:t xml:space="preserve">a Gazdasági Együttműködési és Fejlesztési Szervezet tagállama, </w:t>
      </w:r>
    </w:p>
    <w:p w:rsidR="00CB380F" w:rsidRPr="009E784B" w:rsidRDefault="00CB380F" w:rsidP="00CB380F">
      <w:pPr>
        <w:widowControl w:val="0"/>
        <w:numPr>
          <w:ilvl w:val="0"/>
          <w:numId w:val="2"/>
        </w:numPr>
        <w:tabs>
          <w:tab w:val="num" w:pos="1260"/>
        </w:tabs>
        <w:overflowPunct w:val="0"/>
        <w:autoSpaceDE w:val="0"/>
        <w:autoSpaceDN w:val="0"/>
        <w:adjustRightInd w:val="0"/>
        <w:ind w:left="1260" w:right="40"/>
        <w:jc w:val="both"/>
        <w:rPr>
          <w:color w:val="000000"/>
        </w:rPr>
      </w:pPr>
      <w:r w:rsidRPr="009E784B">
        <w:rPr>
          <w:color w:val="000000"/>
        </w:rPr>
        <w:t>olyan állam, amellyel Magyarországnak a kettős adóztatás elkerüléséről szóló egyezménye van, és</w:t>
      </w:r>
    </w:p>
    <w:p w:rsidR="00CB380F" w:rsidRPr="009E784B" w:rsidRDefault="00CB380F" w:rsidP="00CB380F">
      <w:pPr>
        <w:widowControl w:val="0"/>
        <w:numPr>
          <w:ilvl w:val="0"/>
          <w:numId w:val="3"/>
        </w:numPr>
        <w:overflowPunct w:val="0"/>
        <w:autoSpaceDE w:val="0"/>
        <w:autoSpaceDN w:val="0"/>
        <w:adjustRightInd w:val="0"/>
        <w:jc w:val="both"/>
        <w:rPr>
          <w:color w:val="000000"/>
        </w:rPr>
      </w:pPr>
      <w:r w:rsidRPr="009E784B">
        <w:rPr>
          <w:color w:val="000000"/>
        </w:rPr>
        <w:t>nem minősül társasági adóról és az osztalékadóról szóló 1996. évi LXXXI. törvény 4. § 11. pontja szerinti ellenőrzött külföldi társaságnak, és</w:t>
      </w:r>
    </w:p>
    <w:p w:rsidR="00CB380F" w:rsidRPr="009E784B" w:rsidRDefault="00CB380F" w:rsidP="00CB380F">
      <w:pPr>
        <w:widowControl w:val="0"/>
        <w:numPr>
          <w:ilvl w:val="0"/>
          <w:numId w:val="3"/>
        </w:numPr>
        <w:overflowPunct w:val="0"/>
        <w:autoSpaceDE w:val="0"/>
        <w:autoSpaceDN w:val="0"/>
        <w:adjustRightInd w:val="0"/>
        <w:jc w:val="both"/>
        <w:rPr>
          <w:color w:val="000000"/>
        </w:rPr>
      </w:pPr>
      <w:r w:rsidRPr="009E784B">
        <w:rPr>
          <w:color w:val="000000"/>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CB380F" w:rsidRPr="009E784B" w:rsidRDefault="00CB380F" w:rsidP="00CB380F">
      <w:pPr>
        <w:jc w:val="both"/>
        <w:rPr>
          <w:color w:val="000000"/>
        </w:rPr>
      </w:pPr>
    </w:p>
    <w:p w:rsidR="00CB380F" w:rsidRPr="009E784B" w:rsidRDefault="00CB380F" w:rsidP="00CB380F">
      <w:pPr>
        <w:numPr>
          <w:ilvl w:val="0"/>
          <w:numId w:val="1"/>
        </w:numPr>
        <w:jc w:val="both"/>
        <w:rPr>
          <w:b/>
          <w:color w:val="000000"/>
        </w:rPr>
      </w:pPr>
      <w:r w:rsidRPr="009E784B">
        <w:rPr>
          <w:b/>
          <w:color w:val="000000"/>
        </w:rPr>
        <w:t>Nyilatkozat tényleges tulajdonosról</w:t>
      </w:r>
    </w:p>
    <w:p w:rsidR="00CB380F" w:rsidRPr="009E784B" w:rsidRDefault="00CB380F" w:rsidP="00CB380F">
      <w:pPr>
        <w:jc w:val="both"/>
        <w:rPr>
          <w:color w:val="000000"/>
        </w:rPr>
      </w:pPr>
    </w:p>
    <w:p w:rsidR="00CB380F" w:rsidRPr="009E784B" w:rsidRDefault="00CB380F" w:rsidP="00CB380F">
      <w:pPr>
        <w:jc w:val="both"/>
        <w:rPr>
          <w:color w:val="000000"/>
        </w:rPr>
      </w:pPr>
      <w:r w:rsidRPr="009E784B">
        <w:rPr>
          <w:color w:val="000000"/>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9E784B">
        <w:rPr>
          <w:color w:val="000000"/>
        </w:rPr>
        <w:t>személy(</w:t>
      </w:r>
      <w:proofErr w:type="spellStart"/>
      <w:proofErr w:type="gramEnd"/>
      <w:r w:rsidRPr="009E784B">
        <w:rPr>
          <w:color w:val="000000"/>
        </w:rPr>
        <w:t>ek</w:t>
      </w:r>
      <w:proofErr w:type="spellEnd"/>
      <w:r w:rsidRPr="009E784B">
        <w:rPr>
          <w:color w:val="000000"/>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2569"/>
        <w:gridCol w:w="2188"/>
        <w:gridCol w:w="1637"/>
        <w:gridCol w:w="1850"/>
      </w:tblGrid>
      <w:tr w:rsidR="00CB380F" w:rsidRPr="009E784B" w:rsidTr="00937126">
        <w:trPr>
          <w:jc w:val="center"/>
        </w:trPr>
        <w:tc>
          <w:tcPr>
            <w:tcW w:w="562" w:type="pct"/>
            <w:tcBorders>
              <w:top w:val="single" w:sz="4" w:space="0" w:color="auto"/>
              <w:left w:val="single" w:sz="4" w:space="0" w:color="auto"/>
              <w:bottom w:val="single" w:sz="4" w:space="0" w:color="auto"/>
              <w:right w:val="single" w:sz="4" w:space="0" w:color="auto"/>
            </w:tcBorders>
            <w:hideMark/>
          </w:tcPr>
          <w:p w:rsidR="00CB380F" w:rsidRPr="009E784B" w:rsidRDefault="00CB380F" w:rsidP="00937126">
            <w:pPr>
              <w:spacing w:after="120"/>
              <w:jc w:val="both"/>
              <w:rPr>
                <w:color w:val="000000"/>
              </w:rPr>
            </w:pPr>
            <w:r w:rsidRPr="009E784B">
              <w:rPr>
                <w:color w:val="000000"/>
              </w:rPr>
              <w:t>Sorszám</w:t>
            </w:r>
          </w:p>
        </w:tc>
        <w:tc>
          <w:tcPr>
            <w:tcW w:w="1383" w:type="pct"/>
            <w:tcBorders>
              <w:top w:val="single" w:sz="4" w:space="0" w:color="auto"/>
              <w:left w:val="single" w:sz="4" w:space="0" w:color="auto"/>
              <w:bottom w:val="single" w:sz="4" w:space="0" w:color="auto"/>
              <w:right w:val="single" w:sz="4" w:space="0" w:color="auto"/>
            </w:tcBorders>
            <w:hideMark/>
          </w:tcPr>
          <w:p w:rsidR="00CB380F" w:rsidRPr="009E784B" w:rsidRDefault="00CB380F" w:rsidP="00937126">
            <w:pPr>
              <w:spacing w:after="120"/>
              <w:jc w:val="both"/>
              <w:rPr>
                <w:color w:val="000000"/>
              </w:rPr>
            </w:pPr>
            <w:r w:rsidRPr="009E784B">
              <w:rPr>
                <w:color w:val="000000"/>
              </w:rPr>
              <w:t>Tényleges tulajdonos</w:t>
            </w:r>
          </w:p>
        </w:tc>
        <w:tc>
          <w:tcPr>
            <w:tcW w:w="1178" w:type="pct"/>
            <w:tcBorders>
              <w:top w:val="single" w:sz="4" w:space="0" w:color="auto"/>
              <w:left w:val="single" w:sz="4" w:space="0" w:color="auto"/>
              <w:bottom w:val="single" w:sz="4" w:space="0" w:color="auto"/>
              <w:right w:val="single" w:sz="4" w:space="0" w:color="auto"/>
            </w:tcBorders>
            <w:hideMark/>
          </w:tcPr>
          <w:p w:rsidR="00CB380F" w:rsidRPr="009E784B" w:rsidRDefault="00CB380F" w:rsidP="00937126">
            <w:pPr>
              <w:spacing w:after="120"/>
              <w:jc w:val="both"/>
              <w:rPr>
                <w:color w:val="000000"/>
              </w:rPr>
            </w:pPr>
            <w:r w:rsidRPr="009E784B">
              <w:rPr>
                <w:color w:val="000000"/>
              </w:rPr>
              <w:t>Születési hely és idő</w:t>
            </w:r>
          </w:p>
        </w:tc>
        <w:tc>
          <w:tcPr>
            <w:tcW w:w="881" w:type="pct"/>
            <w:tcBorders>
              <w:top w:val="single" w:sz="4" w:space="0" w:color="auto"/>
              <w:left w:val="single" w:sz="4" w:space="0" w:color="auto"/>
              <w:bottom w:val="single" w:sz="4" w:space="0" w:color="auto"/>
              <w:right w:val="single" w:sz="4" w:space="0" w:color="auto"/>
            </w:tcBorders>
            <w:hideMark/>
          </w:tcPr>
          <w:p w:rsidR="00CB380F" w:rsidRPr="009E784B" w:rsidRDefault="00CB380F" w:rsidP="00937126">
            <w:pPr>
              <w:spacing w:after="120"/>
              <w:jc w:val="both"/>
              <w:rPr>
                <w:color w:val="000000"/>
              </w:rPr>
            </w:pPr>
            <w:r w:rsidRPr="009E784B">
              <w:rPr>
                <w:color w:val="000000"/>
              </w:rPr>
              <w:t>Anyja neve</w:t>
            </w:r>
          </w:p>
        </w:tc>
        <w:tc>
          <w:tcPr>
            <w:tcW w:w="996" w:type="pct"/>
            <w:tcBorders>
              <w:top w:val="single" w:sz="4" w:space="0" w:color="auto"/>
              <w:left w:val="single" w:sz="4" w:space="0" w:color="auto"/>
              <w:bottom w:val="single" w:sz="4" w:space="0" w:color="auto"/>
              <w:right w:val="single" w:sz="4" w:space="0" w:color="auto"/>
            </w:tcBorders>
            <w:hideMark/>
          </w:tcPr>
          <w:p w:rsidR="00CB380F" w:rsidRPr="009E784B" w:rsidRDefault="00CB380F" w:rsidP="00937126">
            <w:pPr>
              <w:spacing w:after="120"/>
              <w:jc w:val="both"/>
              <w:rPr>
                <w:color w:val="000000"/>
              </w:rPr>
            </w:pPr>
            <w:r w:rsidRPr="009E784B">
              <w:rPr>
                <w:color w:val="000000"/>
              </w:rPr>
              <w:t>Részesedés mértéke %-ban</w:t>
            </w:r>
          </w:p>
        </w:tc>
      </w:tr>
      <w:tr w:rsidR="00CB380F" w:rsidRPr="009E784B" w:rsidTr="00937126">
        <w:trPr>
          <w:jc w:val="center"/>
        </w:trPr>
        <w:tc>
          <w:tcPr>
            <w:tcW w:w="562" w:type="pct"/>
            <w:tcBorders>
              <w:top w:val="single" w:sz="4" w:space="0" w:color="auto"/>
              <w:left w:val="single" w:sz="4" w:space="0" w:color="auto"/>
              <w:bottom w:val="single" w:sz="4" w:space="0" w:color="auto"/>
              <w:right w:val="single" w:sz="4" w:space="0" w:color="auto"/>
            </w:tcBorders>
          </w:tcPr>
          <w:p w:rsidR="00CB380F" w:rsidRPr="009E784B" w:rsidRDefault="00CB380F" w:rsidP="00937126">
            <w:pPr>
              <w:spacing w:after="120"/>
              <w:jc w:val="both"/>
              <w:rPr>
                <w:color w:val="000000"/>
              </w:rPr>
            </w:pPr>
          </w:p>
        </w:tc>
        <w:tc>
          <w:tcPr>
            <w:tcW w:w="1383" w:type="pct"/>
            <w:tcBorders>
              <w:top w:val="single" w:sz="4" w:space="0" w:color="auto"/>
              <w:left w:val="single" w:sz="4" w:space="0" w:color="auto"/>
              <w:bottom w:val="single" w:sz="4" w:space="0" w:color="auto"/>
              <w:right w:val="single" w:sz="4" w:space="0" w:color="auto"/>
            </w:tcBorders>
          </w:tcPr>
          <w:p w:rsidR="00CB380F" w:rsidRPr="009E784B" w:rsidRDefault="00CB380F" w:rsidP="00937126">
            <w:pPr>
              <w:spacing w:after="120"/>
              <w:jc w:val="both"/>
              <w:rPr>
                <w:color w:val="000000"/>
              </w:rPr>
            </w:pPr>
          </w:p>
        </w:tc>
        <w:tc>
          <w:tcPr>
            <w:tcW w:w="1178" w:type="pct"/>
            <w:tcBorders>
              <w:top w:val="single" w:sz="4" w:space="0" w:color="auto"/>
              <w:left w:val="single" w:sz="4" w:space="0" w:color="auto"/>
              <w:bottom w:val="single" w:sz="4" w:space="0" w:color="auto"/>
              <w:right w:val="single" w:sz="4" w:space="0" w:color="auto"/>
            </w:tcBorders>
          </w:tcPr>
          <w:p w:rsidR="00CB380F" w:rsidRPr="009E784B" w:rsidRDefault="00CB380F" w:rsidP="00937126">
            <w:pPr>
              <w:spacing w:after="120"/>
              <w:jc w:val="both"/>
              <w:rPr>
                <w:color w:val="000000"/>
              </w:rPr>
            </w:pPr>
          </w:p>
        </w:tc>
        <w:tc>
          <w:tcPr>
            <w:tcW w:w="881" w:type="pct"/>
            <w:tcBorders>
              <w:top w:val="single" w:sz="4" w:space="0" w:color="auto"/>
              <w:left w:val="single" w:sz="4" w:space="0" w:color="auto"/>
              <w:bottom w:val="single" w:sz="4" w:space="0" w:color="auto"/>
              <w:right w:val="single" w:sz="4" w:space="0" w:color="auto"/>
            </w:tcBorders>
          </w:tcPr>
          <w:p w:rsidR="00CB380F" w:rsidRPr="009E784B" w:rsidRDefault="00CB380F" w:rsidP="00937126">
            <w:pPr>
              <w:spacing w:after="120"/>
              <w:jc w:val="both"/>
              <w:rPr>
                <w:color w:val="000000"/>
              </w:rPr>
            </w:pPr>
          </w:p>
        </w:tc>
        <w:tc>
          <w:tcPr>
            <w:tcW w:w="996" w:type="pct"/>
            <w:tcBorders>
              <w:top w:val="single" w:sz="4" w:space="0" w:color="auto"/>
              <w:left w:val="single" w:sz="4" w:space="0" w:color="auto"/>
              <w:bottom w:val="single" w:sz="4" w:space="0" w:color="auto"/>
              <w:right w:val="single" w:sz="4" w:space="0" w:color="auto"/>
            </w:tcBorders>
          </w:tcPr>
          <w:p w:rsidR="00CB380F" w:rsidRPr="009E784B" w:rsidRDefault="00CB380F" w:rsidP="00937126">
            <w:pPr>
              <w:spacing w:after="120"/>
              <w:jc w:val="both"/>
              <w:rPr>
                <w:color w:val="000000"/>
              </w:rPr>
            </w:pPr>
          </w:p>
        </w:tc>
      </w:tr>
    </w:tbl>
    <w:p w:rsidR="00CB380F" w:rsidRPr="009E784B" w:rsidRDefault="00CB380F" w:rsidP="00CB380F">
      <w:pPr>
        <w:rPr>
          <w:vanish/>
          <w:sz w:val="20"/>
          <w:szCs w:val="20"/>
        </w:rPr>
      </w:pPr>
    </w:p>
    <w:tbl>
      <w:tblPr>
        <w:tblW w:w="0" w:type="auto"/>
        <w:tblLook w:val="04A0" w:firstRow="1" w:lastRow="0" w:firstColumn="1" w:lastColumn="0" w:noHBand="0" w:noVBand="1"/>
      </w:tblPr>
      <w:tblGrid>
        <w:gridCol w:w="1460"/>
        <w:gridCol w:w="3510"/>
        <w:gridCol w:w="4318"/>
      </w:tblGrid>
      <w:tr w:rsidR="00CB380F" w:rsidRPr="009E784B" w:rsidTr="00937126">
        <w:tc>
          <w:tcPr>
            <w:tcW w:w="9288" w:type="dxa"/>
            <w:gridSpan w:val="3"/>
            <w:shd w:val="clear" w:color="auto" w:fill="auto"/>
          </w:tcPr>
          <w:p w:rsidR="00CB380F" w:rsidRPr="009E784B" w:rsidRDefault="00CB380F" w:rsidP="00937126">
            <w:pPr>
              <w:suppressAutoHyphens/>
              <w:ind w:left="426" w:hanging="426"/>
              <w:jc w:val="both"/>
              <w:textAlignment w:val="baseline"/>
              <w:rPr>
                <w:rFonts w:eastAsia="Calibri"/>
                <w:kern w:val="1"/>
                <w:lang w:eastAsia="zh-CN"/>
              </w:rPr>
            </w:pPr>
            <w:r w:rsidRPr="009E784B">
              <w:rPr>
                <w:rFonts w:eastAsia="Calibri"/>
                <w:kern w:val="1"/>
                <w:lang w:eastAsia="zh-CN"/>
              </w:rPr>
              <w:t>Kelt (helység, év, hónap, nap)</w:t>
            </w:r>
          </w:p>
        </w:tc>
      </w:tr>
      <w:tr w:rsidR="00CB380F" w:rsidRPr="009E784B" w:rsidTr="00937126">
        <w:tc>
          <w:tcPr>
            <w:tcW w:w="1460" w:type="dxa"/>
            <w:shd w:val="clear" w:color="auto" w:fill="auto"/>
          </w:tcPr>
          <w:p w:rsidR="00CB380F" w:rsidRPr="009E784B" w:rsidRDefault="00CB380F" w:rsidP="00937126">
            <w:pPr>
              <w:suppressAutoHyphens/>
              <w:ind w:left="426" w:hanging="426"/>
              <w:jc w:val="both"/>
              <w:textAlignment w:val="baseline"/>
              <w:rPr>
                <w:rFonts w:eastAsia="Calibri"/>
                <w:kern w:val="1"/>
                <w:lang w:eastAsia="zh-CN"/>
              </w:rPr>
            </w:pPr>
          </w:p>
        </w:tc>
        <w:tc>
          <w:tcPr>
            <w:tcW w:w="3510" w:type="dxa"/>
            <w:shd w:val="clear" w:color="auto" w:fill="auto"/>
          </w:tcPr>
          <w:p w:rsidR="00CB380F" w:rsidRPr="009E784B" w:rsidRDefault="00CB380F" w:rsidP="00937126">
            <w:pPr>
              <w:suppressAutoHyphens/>
              <w:ind w:left="426" w:hanging="426"/>
              <w:jc w:val="both"/>
              <w:textAlignment w:val="baseline"/>
              <w:rPr>
                <w:rFonts w:eastAsia="Calibri"/>
                <w:kern w:val="1"/>
                <w:lang w:eastAsia="zh-CN"/>
              </w:rPr>
            </w:pPr>
          </w:p>
        </w:tc>
        <w:tc>
          <w:tcPr>
            <w:tcW w:w="4318" w:type="dxa"/>
            <w:tcBorders>
              <w:top w:val="single" w:sz="4" w:space="0" w:color="auto"/>
            </w:tcBorders>
            <w:shd w:val="clear" w:color="auto" w:fill="auto"/>
            <w:vAlign w:val="center"/>
          </w:tcPr>
          <w:p w:rsidR="00CB380F" w:rsidRPr="009E784B" w:rsidRDefault="00CB380F" w:rsidP="00937126">
            <w:pPr>
              <w:tabs>
                <w:tab w:val="center" w:pos="6521"/>
              </w:tabs>
              <w:suppressAutoHyphens/>
              <w:ind w:left="426" w:hanging="426"/>
              <w:jc w:val="center"/>
              <w:textAlignment w:val="baseline"/>
              <w:rPr>
                <w:rFonts w:eastAsia="Calibri"/>
                <w:kern w:val="1"/>
                <w:lang w:eastAsia="zh-CN"/>
              </w:rPr>
            </w:pPr>
            <w:r w:rsidRPr="009E784B">
              <w:rPr>
                <w:rFonts w:eastAsia="Calibri"/>
                <w:kern w:val="1"/>
                <w:lang w:eastAsia="zh-CN"/>
              </w:rPr>
              <w:t>(cégjegyzésre jogosult vagy szabályszerűen meghatalmazott képviselő aláírása)</w:t>
            </w:r>
          </w:p>
        </w:tc>
      </w:tr>
    </w:tbl>
    <w:p w:rsidR="00CB380F" w:rsidRPr="009E784B" w:rsidRDefault="00CB380F" w:rsidP="00CB380F">
      <w:pPr>
        <w:rPr>
          <w:b/>
          <w:bCs/>
          <w:iCs/>
          <w:color w:val="222222"/>
          <w:sz w:val="28"/>
          <w:szCs w:val="28"/>
        </w:rPr>
      </w:pPr>
      <w:bookmarkStart w:id="0" w:name="_GoBack"/>
      <w:bookmarkEnd w:id="0"/>
    </w:p>
    <w:sectPr w:rsidR="00CB380F" w:rsidRPr="009E7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0F" w:rsidRDefault="00CB380F" w:rsidP="00CB380F">
      <w:r>
        <w:separator/>
      </w:r>
    </w:p>
  </w:endnote>
  <w:endnote w:type="continuationSeparator" w:id="0">
    <w:p w:rsidR="00CB380F" w:rsidRDefault="00CB380F" w:rsidP="00C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0F" w:rsidRDefault="00CB380F" w:rsidP="00CB380F">
      <w:r>
        <w:separator/>
      </w:r>
    </w:p>
  </w:footnote>
  <w:footnote w:type="continuationSeparator" w:id="0">
    <w:p w:rsidR="00CB380F" w:rsidRDefault="00CB380F" w:rsidP="00CB380F">
      <w:r>
        <w:continuationSeparator/>
      </w:r>
    </w:p>
  </w:footnote>
  <w:footnote w:id="1">
    <w:p w:rsidR="00CB380F" w:rsidRDefault="00CB380F" w:rsidP="00CB380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CB380F" w:rsidRDefault="00CB380F" w:rsidP="00CB380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CB380F" w:rsidRDefault="00CB380F" w:rsidP="00CB380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CB380F" w:rsidRDefault="00CB380F" w:rsidP="00CB380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CB380F" w:rsidRDefault="00CB380F" w:rsidP="00CB380F">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CB380F" w:rsidRDefault="00CB380F" w:rsidP="00CB380F">
      <w:pPr>
        <w:pStyle w:val="Lbjegyzetszveg"/>
        <w:rPr>
          <w:sz w:val="18"/>
          <w:szCs w:val="18"/>
        </w:rPr>
      </w:pPr>
    </w:p>
  </w:footnote>
  <w:footnote w:id="2">
    <w:p w:rsidR="00CB380F" w:rsidRPr="00B11EA5" w:rsidRDefault="00CB380F" w:rsidP="00CB380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CB380F" w:rsidRPr="00E85BAE" w:rsidRDefault="00CB380F" w:rsidP="00CB380F">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0F"/>
    <w:rsid w:val="00CB380F"/>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380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CB380F"/>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CB380F"/>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B380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B380F"/>
    <w:rPr>
      <w:rFonts w:cs="Times New Roman"/>
      <w:vertAlign w:val="superscript"/>
    </w:rPr>
  </w:style>
  <w:style w:type="paragraph" w:styleId="NormlWeb">
    <w:name w:val="Normal (Web)"/>
    <w:basedOn w:val="Norml"/>
    <w:link w:val="NormlWebChar"/>
    <w:uiPriority w:val="99"/>
    <w:rsid w:val="00CB380F"/>
    <w:pPr>
      <w:spacing w:before="100" w:beforeAutospacing="1" w:after="100" w:afterAutospacing="1"/>
    </w:pPr>
    <w:rPr>
      <w:color w:val="000000"/>
    </w:rPr>
  </w:style>
  <w:style w:type="character" w:customStyle="1" w:styleId="NormlWebChar">
    <w:name w:val="Normál (Web) Char"/>
    <w:link w:val="NormlWeb"/>
    <w:uiPriority w:val="99"/>
    <w:locked/>
    <w:rsid w:val="00CB380F"/>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380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CB380F"/>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CB380F"/>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CB380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CB380F"/>
    <w:rPr>
      <w:rFonts w:cs="Times New Roman"/>
      <w:vertAlign w:val="superscript"/>
    </w:rPr>
  </w:style>
  <w:style w:type="paragraph" w:styleId="NormlWeb">
    <w:name w:val="Normal (Web)"/>
    <w:basedOn w:val="Norml"/>
    <w:link w:val="NormlWebChar"/>
    <w:uiPriority w:val="99"/>
    <w:rsid w:val="00CB380F"/>
    <w:pPr>
      <w:spacing w:before="100" w:beforeAutospacing="1" w:after="100" w:afterAutospacing="1"/>
    </w:pPr>
    <w:rPr>
      <w:color w:val="000000"/>
    </w:rPr>
  </w:style>
  <w:style w:type="character" w:customStyle="1" w:styleId="NormlWebChar">
    <w:name w:val="Normál (Web) Char"/>
    <w:link w:val="NormlWeb"/>
    <w:uiPriority w:val="99"/>
    <w:locked/>
    <w:rsid w:val="00CB380F"/>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2731</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2017-08-04T09:47:00Z</dcterms:created>
  <dcterms:modified xsi:type="dcterms:W3CDTF">2017-08-04T09:48:00Z</dcterms:modified>
</cp:coreProperties>
</file>