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E9" w:rsidRDefault="00B343E9" w:rsidP="00B343E9">
      <w:pPr>
        <w:pStyle w:val="Listaszerbekezds"/>
        <w:numPr>
          <w:ilvl w:val="2"/>
          <w:numId w:val="1"/>
        </w:numPr>
        <w:jc w:val="right"/>
      </w:pPr>
      <w:r>
        <w:t>sz. melléklet</w:t>
      </w:r>
      <w:r w:rsidRPr="00750B3E">
        <w:t xml:space="preserve"> </w:t>
      </w:r>
      <w:r w:rsidRPr="007A3483">
        <w:t xml:space="preserve">a </w:t>
      </w:r>
      <w:r>
        <w:t>460- 41</w:t>
      </w:r>
      <w:r w:rsidRPr="007A3483">
        <w:t>/201</w:t>
      </w:r>
      <w:r>
        <w:t xml:space="preserve">7 </w:t>
      </w:r>
      <w:proofErr w:type="spellStart"/>
      <w:r>
        <w:t>nyt</w:t>
      </w:r>
      <w:proofErr w:type="spellEnd"/>
      <w:r>
        <w:t>.</w:t>
      </w:r>
      <w:r w:rsidRPr="007A3483">
        <w:t xml:space="preserve"> számhoz</w:t>
      </w:r>
    </w:p>
    <w:p w:rsidR="00B343E9" w:rsidRDefault="00B343E9" w:rsidP="00B343E9">
      <w:pPr>
        <w:jc w:val="both"/>
      </w:pPr>
    </w:p>
    <w:p w:rsidR="00B343E9" w:rsidRDefault="00B343E9" w:rsidP="00B343E9">
      <w:pPr>
        <w:jc w:val="center"/>
        <w:rPr>
          <w:b/>
          <w:sz w:val="28"/>
          <w:szCs w:val="32"/>
        </w:rPr>
      </w:pPr>
      <w:r>
        <w:rPr>
          <w:b/>
          <w:sz w:val="28"/>
          <w:szCs w:val="32"/>
        </w:rPr>
        <w:t>FELOLVASÓLAP</w:t>
      </w:r>
    </w:p>
    <w:p w:rsidR="00B343E9" w:rsidRDefault="00B343E9" w:rsidP="00B343E9">
      <w:pPr>
        <w:jc w:val="center"/>
        <w:rPr>
          <w:b/>
          <w:sz w:val="28"/>
          <w:szCs w:val="32"/>
        </w:rPr>
      </w:pPr>
    </w:p>
    <w:p w:rsidR="00B343E9" w:rsidRDefault="00B343E9" w:rsidP="00B343E9">
      <w:pPr>
        <w:jc w:val="center"/>
      </w:pPr>
      <w:r>
        <w:rPr>
          <w:i/>
        </w:rPr>
        <w:t>„</w:t>
      </w:r>
      <w:r w:rsidRPr="002B54FA">
        <w:rPr>
          <w:i/>
        </w:rPr>
        <w:t xml:space="preserve">MH szárazföldi szaktechnikai eszközeinek üzemeltetéséhez, javításához szükséges kenőanyagok és speciális folyadékok </w:t>
      </w:r>
      <w:r>
        <w:rPr>
          <w:i/>
        </w:rPr>
        <w:t xml:space="preserve">(fagyálló folyadékok, fékfolyadék, segédanyagok és ápoló anyagok) </w:t>
      </w:r>
      <w:r w:rsidRPr="002B54FA">
        <w:rPr>
          <w:i/>
        </w:rPr>
        <w:t xml:space="preserve">beszerzése </w:t>
      </w:r>
      <w:r>
        <w:rPr>
          <w:i/>
        </w:rPr>
        <w:t>2017</w:t>
      </w:r>
      <w:r w:rsidRPr="002B54FA">
        <w:rPr>
          <w:i/>
        </w:rPr>
        <w:t>-</w:t>
      </w:r>
      <w:r>
        <w:rPr>
          <w:i/>
        </w:rPr>
        <w:t>2018</w:t>
      </w:r>
      <w:r w:rsidRPr="002B54FA">
        <w:rPr>
          <w:i/>
        </w:rPr>
        <w:t>-ba</w:t>
      </w:r>
      <w:r w:rsidRPr="002B54FA">
        <w:t>n</w:t>
      </w:r>
      <w:r>
        <w:t xml:space="preserve">” </w:t>
      </w:r>
    </w:p>
    <w:p w:rsidR="00B343E9" w:rsidRPr="00B343E9" w:rsidRDefault="00B343E9" w:rsidP="00B343E9">
      <w:pPr>
        <w:jc w:val="center"/>
      </w:pPr>
    </w:p>
    <w:p w:rsidR="00B343E9" w:rsidRPr="0023012F" w:rsidRDefault="00B343E9" w:rsidP="00B343E9">
      <w:pPr>
        <w:widowControl w:val="0"/>
        <w:autoSpaceDE w:val="0"/>
        <w:autoSpaceDN w:val="0"/>
        <w:adjustRightInd w:val="0"/>
        <w:rPr>
          <w:color w:val="000000"/>
        </w:rPr>
      </w:pPr>
      <w:r w:rsidRPr="0023012F">
        <w:rPr>
          <w:color w:val="000000"/>
        </w:rPr>
        <w:t xml:space="preserve">1. Az </w:t>
      </w:r>
      <w:r w:rsidRPr="0023012F">
        <w:rPr>
          <w:b/>
          <w:bCs/>
          <w:color w:val="000000"/>
        </w:rPr>
        <w:t>Ajánlattevő</w:t>
      </w:r>
      <w:r w:rsidRPr="0023012F">
        <w:rPr>
          <w:color w:val="000000"/>
        </w:rPr>
        <w:t xml:space="preserve"> neve (közös ajánlat esetén a közös </w:t>
      </w:r>
      <w:r w:rsidRPr="0023012F">
        <w:rPr>
          <w:b/>
          <w:bCs/>
          <w:color w:val="000000"/>
        </w:rPr>
        <w:t>Ajánlattevők</w:t>
      </w:r>
      <w:r w:rsidRPr="0023012F">
        <w:rPr>
          <w:color w:val="000000"/>
        </w:rPr>
        <w:t xml:space="preserve"> nevei):</w:t>
      </w:r>
    </w:p>
    <w:p w:rsidR="00B343E9" w:rsidRPr="0023012F" w:rsidRDefault="00B343E9" w:rsidP="00B343E9">
      <w:pPr>
        <w:widowControl w:val="0"/>
        <w:autoSpaceDE w:val="0"/>
        <w:autoSpaceDN w:val="0"/>
        <w:adjustRightInd w:val="0"/>
        <w:rPr>
          <w:color w:val="000000"/>
        </w:rPr>
      </w:pPr>
    </w:p>
    <w:p w:rsidR="00B343E9" w:rsidRPr="0023012F" w:rsidRDefault="00B343E9" w:rsidP="00B343E9">
      <w:pPr>
        <w:widowControl w:val="0"/>
        <w:autoSpaceDE w:val="0"/>
        <w:autoSpaceDN w:val="0"/>
        <w:adjustRightInd w:val="0"/>
        <w:rPr>
          <w:color w:val="000000"/>
        </w:rPr>
      </w:pPr>
      <w:r w:rsidRPr="0023012F">
        <w:rPr>
          <w:color w:val="000000"/>
        </w:rPr>
        <w:t xml:space="preserve">2. Az </w:t>
      </w:r>
      <w:proofErr w:type="gramStart"/>
      <w:r w:rsidRPr="0023012F">
        <w:rPr>
          <w:b/>
          <w:bCs/>
          <w:color w:val="000000"/>
        </w:rPr>
        <w:t>Ajánlattevő(</w:t>
      </w:r>
      <w:proofErr w:type="gramEnd"/>
      <w:r w:rsidRPr="0023012F">
        <w:rPr>
          <w:b/>
          <w:bCs/>
          <w:color w:val="000000"/>
        </w:rPr>
        <w:t xml:space="preserve">k) </w:t>
      </w:r>
      <w:r w:rsidRPr="0023012F">
        <w:rPr>
          <w:color w:val="000000"/>
        </w:rPr>
        <w:t>székhelye(i), címe(i):</w:t>
      </w:r>
    </w:p>
    <w:p w:rsidR="00B343E9" w:rsidRPr="0023012F" w:rsidRDefault="00B343E9" w:rsidP="00B343E9">
      <w:pPr>
        <w:widowControl w:val="0"/>
        <w:autoSpaceDE w:val="0"/>
        <w:autoSpaceDN w:val="0"/>
        <w:adjustRightInd w:val="0"/>
        <w:rPr>
          <w:color w:val="000000"/>
        </w:rPr>
      </w:pPr>
    </w:p>
    <w:p w:rsidR="00B343E9" w:rsidRDefault="00B343E9" w:rsidP="00B343E9">
      <w:pPr>
        <w:widowControl w:val="0"/>
        <w:autoSpaceDE w:val="0"/>
        <w:autoSpaceDN w:val="0"/>
        <w:adjustRightInd w:val="0"/>
        <w:rPr>
          <w:color w:val="000000"/>
        </w:rPr>
      </w:pPr>
      <w:r w:rsidRPr="0023012F">
        <w:rPr>
          <w:color w:val="000000"/>
        </w:rPr>
        <w:t xml:space="preserve">3. Az </w:t>
      </w:r>
      <w:proofErr w:type="gramStart"/>
      <w:r w:rsidRPr="0023012F">
        <w:rPr>
          <w:b/>
          <w:bCs/>
          <w:color w:val="000000"/>
        </w:rPr>
        <w:t>Ajánlattevő(</w:t>
      </w:r>
      <w:proofErr w:type="gramEnd"/>
      <w:r w:rsidRPr="0023012F">
        <w:rPr>
          <w:b/>
          <w:bCs/>
          <w:color w:val="000000"/>
        </w:rPr>
        <w:t>k)</w:t>
      </w:r>
      <w:r w:rsidRPr="0023012F">
        <w:rPr>
          <w:color w:val="000000"/>
        </w:rPr>
        <w:t xml:space="preserve"> elérhe</w:t>
      </w:r>
      <w:r>
        <w:rPr>
          <w:color w:val="000000"/>
        </w:rPr>
        <w:t>tősége(i) (telefon, telefax, e-mail cím):</w:t>
      </w:r>
    </w:p>
    <w:p w:rsidR="00B343E9" w:rsidRPr="0023012F" w:rsidRDefault="00B343E9" w:rsidP="00B343E9">
      <w:pPr>
        <w:widowControl w:val="0"/>
        <w:autoSpaceDE w:val="0"/>
        <w:autoSpaceDN w:val="0"/>
        <w:adjustRightInd w:val="0"/>
        <w:jc w:val="both"/>
        <w:rPr>
          <w:color w:val="000000"/>
        </w:rPr>
      </w:pPr>
    </w:p>
    <w:p w:rsidR="00B343E9" w:rsidRPr="00BD2902" w:rsidRDefault="00B343E9" w:rsidP="00B343E9">
      <w:pPr>
        <w:pStyle w:val="Listaszerbekezds"/>
        <w:widowControl w:val="0"/>
        <w:numPr>
          <w:ilvl w:val="0"/>
          <w:numId w:val="1"/>
        </w:numPr>
        <w:autoSpaceDE w:val="0"/>
        <w:autoSpaceDN w:val="0"/>
        <w:adjustRightInd w:val="0"/>
        <w:spacing w:after="120"/>
        <w:jc w:val="both"/>
        <w:rPr>
          <w:b/>
          <w:bCs/>
        </w:rPr>
      </w:pPr>
      <w:r w:rsidRPr="00BD2902">
        <w:rPr>
          <w:b/>
          <w:bCs/>
        </w:rPr>
        <w:t>Ajánlati ár</w:t>
      </w:r>
    </w:p>
    <w:p w:rsidR="00B343E9" w:rsidRDefault="00B343E9" w:rsidP="00B343E9">
      <w:pPr>
        <w:pStyle w:val="Listaszerbekezds"/>
        <w:widowControl w:val="0"/>
        <w:autoSpaceDE w:val="0"/>
        <w:autoSpaceDN w:val="0"/>
        <w:adjustRightInd w:val="0"/>
        <w:spacing w:after="120"/>
        <w:jc w:val="both"/>
        <w:rPr>
          <w:b/>
          <w:bCs/>
        </w:rPr>
      </w:pPr>
    </w:p>
    <w:p w:rsidR="00B343E9" w:rsidRPr="00BD2902" w:rsidRDefault="00B343E9" w:rsidP="00B343E9">
      <w:pPr>
        <w:pStyle w:val="Listaszerbekezds"/>
        <w:widowControl w:val="0"/>
        <w:autoSpaceDE w:val="0"/>
        <w:autoSpaceDN w:val="0"/>
        <w:adjustRightInd w:val="0"/>
        <w:spacing w:after="120"/>
        <w:ind w:left="0"/>
        <w:jc w:val="both"/>
        <w:rPr>
          <w:b/>
          <w:bCs/>
        </w:rPr>
      </w:pPr>
      <w:r>
        <w:rPr>
          <w:b/>
          <w:bCs/>
        </w:rPr>
        <w:t>1</w:t>
      </w:r>
      <w:proofErr w:type="gramStart"/>
      <w:r>
        <w:rPr>
          <w:b/>
          <w:bCs/>
        </w:rPr>
        <w:t>.részajánlati</w:t>
      </w:r>
      <w:proofErr w:type="gramEnd"/>
      <w:r>
        <w:rPr>
          <w:b/>
          <w:bCs/>
        </w:rPr>
        <w:t xml:space="preserve"> kör:</w:t>
      </w:r>
    </w:p>
    <w:tbl>
      <w:tblPr>
        <w:tblW w:w="9560" w:type="dxa"/>
        <w:jc w:val="center"/>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2976"/>
        <w:gridCol w:w="2835"/>
        <w:gridCol w:w="1547"/>
        <w:gridCol w:w="1673"/>
      </w:tblGrid>
      <w:tr w:rsidR="00B343E9" w:rsidRPr="002A2CB9" w:rsidTr="00937126">
        <w:trPr>
          <w:jc w:val="center"/>
        </w:trPr>
        <w:tc>
          <w:tcPr>
            <w:tcW w:w="3505" w:type="dxa"/>
            <w:gridSpan w:val="2"/>
          </w:tcPr>
          <w:p w:rsidR="00B343E9" w:rsidRPr="002A2CB9" w:rsidRDefault="00B343E9" w:rsidP="00937126">
            <w:pPr>
              <w:spacing w:after="60"/>
              <w:jc w:val="center"/>
              <w:rPr>
                <w:b/>
                <w:sz w:val="22"/>
                <w:szCs w:val="22"/>
              </w:rPr>
            </w:pPr>
            <w:r w:rsidRPr="002A2CB9">
              <w:rPr>
                <w:b/>
                <w:sz w:val="22"/>
                <w:szCs w:val="22"/>
              </w:rPr>
              <w:t>Részszempontok</w:t>
            </w:r>
          </w:p>
        </w:tc>
        <w:tc>
          <w:tcPr>
            <w:tcW w:w="6055" w:type="dxa"/>
            <w:gridSpan w:val="3"/>
            <w:vAlign w:val="center"/>
          </w:tcPr>
          <w:p w:rsidR="00B343E9" w:rsidRPr="002A2CB9" w:rsidRDefault="00B343E9" w:rsidP="00937126">
            <w:pPr>
              <w:spacing w:after="60"/>
              <w:jc w:val="center"/>
              <w:rPr>
                <w:b/>
                <w:sz w:val="22"/>
                <w:szCs w:val="22"/>
              </w:rPr>
            </w:pPr>
            <w:r w:rsidRPr="002A2CB9">
              <w:rPr>
                <w:b/>
                <w:sz w:val="22"/>
                <w:szCs w:val="22"/>
              </w:rPr>
              <w:t>vállalt megajánlás</w:t>
            </w:r>
          </w:p>
        </w:tc>
      </w:tr>
      <w:tr w:rsidR="00B343E9" w:rsidRPr="002A2CB9" w:rsidTr="00937126">
        <w:trPr>
          <w:jc w:val="center"/>
        </w:trPr>
        <w:tc>
          <w:tcPr>
            <w:tcW w:w="529" w:type="dxa"/>
          </w:tcPr>
          <w:p w:rsidR="00B343E9" w:rsidRPr="002A2CB9" w:rsidRDefault="00B343E9" w:rsidP="00937126">
            <w:pPr>
              <w:spacing w:after="60"/>
              <w:jc w:val="both"/>
              <w:rPr>
                <w:sz w:val="22"/>
                <w:szCs w:val="22"/>
              </w:rPr>
            </w:pPr>
            <w:r w:rsidRPr="002A2CB9">
              <w:rPr>
                <w:sz w:val="22"/>
                <w:szCs w:val="22"/>
              </w:rPr>
              <w:t>1.</w:t>
            </w:r>
          </w:p>
        </w:tc>
        <w:tc>
          <w:tcPr>
            <w:tcW w:w="2976" w:type="dxa"/>
          </w:tcPr>
          <w:p w:rsidR="00B343E9" w:rsidRPr="002A2CB9" w:rsidRDefault="00B343E9" w:rsidP="00937126">
            <w:pPr>
              <w:spacing w:after="60"/>
              <w:jc w:val="both"/>
              <w:rPr>
                <w:sz w:val="22"/>
                <w:szCs w:val="22"/>
              </w:rPr>
            </w:pPr>
            <w:r w:rsidRPr="00F049CA">
              <w:t>Ajánlati ár</w:t>
            </w:r>
          </w:p>
        </w:tc>
        <w:tc>
          <w:tcPr>
            <w:tcW w:w="2835" w:type="dxa"/>
          </w:tcPr>
          <w:p w:rsidR="00B343E9" w:rsidRPr="002A2CB9" w:rsidRDefault="00B343E9" w:rsidP="00937126">
            <w:pPr>
              <w:spacing w:after="60"/>
              <w:jc w:val="center"/>
              <w:rPr>
                <w:sz w:val="22"/>
                <w:szCs w:val="22"/>
              </w:rPr>
            </w:pPr>
            <w:r w:rsidRPr="002A2CB9">
              <w:rPr>
                <w:sz w:val="22"/>
                <w:szCs w:val="22"/>
              </w:rPr>
              <w:t>mindösszesen nettó összár</w:t>
            </w:r>
          </w:p>
        </w:tc>
        <w:tc>
          <w:tcPr>
            <w:tcW w:w="1547" w:type="dxa"/>
            <w:shd w:val="clear" w:color="auto" w:fill="D9D9D9"/>
          </w:tcPr>
          <w:p w:rsidR="00B343E9" w:rsidRPr="002A2CB9" w:rsidRDefault="00B343E9" w:rsidP="00937126">
            <w:pPr>
              <w:spacing w:after="60"/>
              <w:jc w:val="center"/>
              <w:rPr>
                <w:sz w:val="22"/>
                <w:szCs w:val="22"/>
              </w:rPr>
            </w:pPr>
          </w:p>
        </w:tc>
        <w:tc>
          <w:tcPr>
            <w:tcW w:w="1673" w:type="dxa"/>
          </w:tcPr>
          <w:p w:rsidR="00B343E9" w:rsidRPr="002A2CB9" w:rsidRDefault="00B343E9" w:rsidP="00937126">
            <w:pPr>
              <w:spacing w:after="60"/>
              <w:rPr>
                <w:sz w:val="22"/>
                <w:szCs w:val="22"/>
              </w:rPr>
            </w:pPr>
            <w:r w:rsidRPr="002A2CB9">
              <w:rPr>
                <w:sz w:val="22"/>
                <w:szCs w:val="22"/>
              </w:rPr>
              <w:t>Ft</w:t>
            </w:r>
          </w:p>
        </w:tc>
      </w:tr>
      <w:tr w:rsidR="00B343E9" w:rsidRPr="002A2CB9" w:rsidTr="00937126">
        <w:trPr>
          <w:jc w:val="center"/>
        </w:trPr>
        <w:tc>
          <w:tcPr>
            <w:tcW w:w="529" w:type="dxa"/>
          </w:tcPr>
          <w:p w:rsidR="00B343E9" w:rsidRPr="002A2CB9" w:rsidRDefault="00B343E9" w:rsidP="00937126">
            <w:pPr>
              <w:spacing w:after="60"/>
              <w:jc w:val="both"/>
              <w:rPr>
                <w:sz w:val="22"/>
                <w:szCs w:val="22"/>
              </w:rPr>
            </w:pPr>
            <w:r w:rsidRPr="002A2CB9">
              <w:rPr>
                <w:sz w:val="22"/>
                <w:szCs w:val="22"/>
              </w:rPr>
              <w:t>2.</w:t>
            </w:r>
          </w:p>
        </w:tc>
        <w:tc>
          <w:tcPr>
            <w:tcW w:w="2976" w:type="dxa"/>
          </w:tcPr>
          <w:p w:rsidR="00B343E9" w:rsidRPr="002A2CB9" w:rsidRDefault="00B343E9" w:rsidP="00937126">
            <w:pPr>
              <w:spacing w:after="60"/>
              <w:jc w:val="both"/>
              <w:rPr>
                <w:sz w:val="22"/>
                <w:szCs w:val="22"/>
              </w:rPr>
            </w:pPr>
            <w:r>
              <w:t>Szállítási határidő</w:t>
            </w:r>
            <w:r>
              <w:rPr>
                <w:rStyle w:val="Lbjegyzet-hivatkozs"/>
              </w:rPr>
              <w:footnoteReference w:id="1"/>
            </w:r>
          </w:p>
        </w:tc>
        <w:tc>
          <w:tcPr>
            <w:tcW w:w="2835" w:type="dxa"/>
          </w:tcPr>
          <w:p w:rsidR="00B343E9" w:rsidRPr="002A2CB9" w:rsidRDefault="00B343E9" w:rsidP="00937126">
            <w:pPr>
              <w:spacing w:after="60"/>
              <w:jc w:val="center"/>
              <w:rPr>
                <w:sz w:val="22"/>
                <w:szCs w:val="22"/>
              </w:rPr>
            </w:pPr>
          </w:p>
        </w:tc>
        <w:tc>
          <w:tcPr>
            <w:tcW w:w="1547" w:type="dxa"/>
            <w:shd w:val="clear" w:color="auto" w:fill="D9D9D9"/>
          </w:tcPr>
          <w:p w:rsidR="00B343E9" w:rsidRPr="002A2CB9" w:rsidRDefault="00B343E9" w:rsidP="00937126">
            <w:pPr>
              <w:spacing w:after="60"/>
              <w:jc w:val="center"/>
              <w:rPr>
                <w:sz w:val="22"/>
                <w:szCs w:val="22"/>
              </w:rPr>
            </w:pPr>
          </w:p>
        </w:tc>
        <w:tc>
          <w:tcPr>
            <w:tcW w:w="1673" w:type="dxa"/>
          </w:tcPr>
          <w:p w:rsidR="00B343E9" w:rsidRPr="002A2CB9" w:rsidRDefault="00B343E9" w:rsidP="00937126">
            <w:pPr>
              <w:spacing w:after="60"/>
              <w:rPr>
                <w:sz w:val="22"/>
                <w:szCs w:val="22"/>
              </w:rPr>
            </w:pPr>
            <w:r>
              <w:rPr>
                <w:sz w:val="22"/>
                <w:szCs w:val="22"/>
              </w:rPr>
              <w:t>nap</w:t>
            </w:r>
          </w:p>
        </w:tc>
      </w:tr>
      <w:tr w:rsidR="00B343E9" w:rsidRPr="002A2CB9" w:rsidTr="00937126">
        <w:trPr>
          <w:jc w:val="center"/>
        </w:trPr>
        <w:tc>
          <w:tcPr>
            <w:tcW w:w="529" w:type="dxa"/>
          </w:tcPr>
          <w:p w:rsidR="00B343E9" w:rsidRPr="002A2CB9" w:rsidRDefault="00B343E9" w:rsidP="00937126">
            <w:pPr>
              <w:spacing w:after="60"/>
              <w:jc w:val="both"/>
              <w:rPr>
                <w:sz w:val="22"/>
                <w:szCs w:val="22"/>
              </w:rPr>
            </w:pPr>
            <w:r>
              <w:rPr>
                <w:sz w:val="22"/>
                <w:szCs w:val="22"/>
              </w:rPr>
              <w:t>3.</w:t>
            </w:r>
          </w:p>
        </w:tc>
        <w:tc>
          <w:tcPr>
            <w:tcW w:w="2976" w:type="dxa"/>
          </w:tcPr>
          <w:p w:rsidR="00B343E9" w:rsidRPr="00BD2902" w:rsidRDefault="00B343E9" w:rsidP="00937126">
            <w:pPr>
              <w:widowControl w:val="0"/>
              <w:autoSpaceDE w:val="0"/>
              <w:autoSpaceDN w:val="0"/>
              <w:adjustRightInd w:val="0"/>
              <w:spacing w:after="120"/>
              <w:ind w:left="357" w:hanging="357"/>
              <w:jc w:val="both"/>
              <w:rPr>
                <w:b/>
                <w:bCs/>
              </w:rPr>
            </w:pPr>
            <w:r>
              <w:t>Jótállás</w:t>
            </w:r>
            <w:r w:rsidRPr="00F049CA">
              <w:t xml:space="preserve"> vállalás időszaka</w:t>
            </w:r>
            <w:r>
              <w:rPr>
                <w:rStyle w:val="Lbjegyzet-hivatkozs"/>
              </w:rPr>
              <w:footnoteReference w:id="2"/>
            </w:r>
          </w:p>
        </w:tc>
        <w:tc>
          <w:tcPr>
            <w:tcW w:w="2835" w:type="dxa"/>
          </w:tcPr>
          <w:p w:rsidR="00B343E9" w:rsidRDefault="00B343E9" w:rsidP="00937126">
            <w:pPr>
              <w:spacing w:after="60"/>
              <w:jc w:val="center"/>
              <w:rPr>
                <w:sz w:val="22"/>
                <w:szCs w:val="22"/>
              </w:rPr>
            </w:pPr>
            <w:r>
              <w:rPr>
                <w:sz w:val="22"/>
                <w:szCs w:val="22"/>
              </w:rPr>
              <w:t xml:space="preserve">vállalt jótállási idő </w:t>
            </w:r>
          </w:p>
        </w:tc>
        <w:tc>
          <w:tcPr>
            <w:tcW w:w="1547" w:type="dxa"/>
            <w:shd w:val="clear" w:color="auto" w:fill="D9D9D9"/>
          </w:tcPr>
          <w:p w:rsidR="00B343E9" w:rsidRPr="002A2CB9" w:rsidRDefault="00B343E9" w:rsidP="00937126">
            <w:pPr>
              <w:spacing w:after="60"/>
              <w:jc w:val="center"/>
              <w:rPr>
                <w:sz w:val="22"/>
                <w:szCs w:val="22"/>
              </w:rPr>
            </w:pPr>
          </w:p>
        </w:tc>
        <w:tc>
          <w:tcPr>
            <w:tcW w:w="1673" w:type="dxa"/>
          </w:tcPr>
          <w:p w:rsidR="00B343E9" w:rsidRDefault="00B343E9" w:rsidP="00937126">
            <w:pPr>
              <w:spacing w:after="60"/>
              <w:rPr>
                <w:sz w:val="22"/>
                <w:szCs w:val="22"/>
              </w:rPr>
            </w:pPr>
            <w:r>
              <w:rPr>
                <w:sz w:val="22"/>
                <w:szCs w:val="22"/>
              </w:rPr>
              <w:t>hónap</w:t>
            </w:r>
          </w:p>
        </w:tc>
      </w:tr>
    </w:tbl>
    <w:p w:rsidR="00B343E9" w:rsidRDefault="00B343E9" w:rsidP="00B343E9">
      <w:pPr>
        <w:widowControl w:val="0"/>
        <w:autoSpaceDE w:val="0"/>
        <w:autoSpaceDN w:val="0"/>
        <w:adjustRightInd w:val="0"/>
        <w:spacing w:after="120"/>
        <w:ind w:left="357" w:hanging="357"/>
        <w:jc w:val="both"/>
        <w:rPr>
          <w:b/>
          <w:bCs/>
        </w:rPr>
      </w:pPr>
    </w:p>
    <w:p w:rsidR="00B343E9" w:rsidRDefault="00B343E9" w:rsidP="00B343E9">
      <w:pPr>
        <w:widowControl w:val="0"/>
        <w:autoSpaceDE w:val="0"/>
        <w:autoSpaceDN w:val="0"/>
        <w:adjustRightInd w:val="0"/>
        <w:spacing w:after="120"/>
        <w:ind w:left="357" w:hanging="357"/>
        <w:jc w:val="both"/>
        <w:rPr>
          <w:b/>
          <w:bCs/>
        </w:rPr>
      </w:pPr>
      <w:r>
        <w:rPr>
          <w:b/>
          <w:bCs/>
        </w:rPr>
        <w:t>2</w:t>
      </w:r>
      <w:proofErr w:type="gramStart"/>
      <w:r>
        <w:rPr>
          <w:b/>
          <w:bCs/>
        </w:rPr>
        <w:t>.részajánlati</w:t>
      </w:r>
      <w:proofErr w:type="gramEnd"/>
      <w:r>
        <w:rPr>
          <w:b/>
          <w:bCs/>
        </w:rPr>
        <w:t xml:space="preserve"> kör:</w:t>
      </w:r>
    </w:p>
    <w:tbl>
      <w:tblPr>
        <w:tblW w:w="9560" w:type="dxa"/>
        <w:jc w:val="center"/>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2976"/>
        <w:gridCol w:w="2835"/>
        <w:gridCol w:w="1547"/>
        <w:gridCol w:w="1673"/>
      </w:tblGrid>
      <w:tr w:rsidR="00B343E9" w:rsidRPr="002A2CB9" w:rsidTr="00937126">
        <w:trPr>
          <w:jc w:val="center"/>
        </w:trPr>
        <w:tc>
          <w:tcPr>
            <w:tcW w:w="3505" w:type="dxa"/>
            <w:gridSpan w:val="2"/>
          </w:tcPr>
          <w:p w:rsidR="00B343E9" w:rsidRPr="002A2CB9" w:rsidRDefault="00B343E9" w:rsidP="00937126">
            <w:pPr>
              <w:spacing w:after="60"/>
              <w:jc w:val="center"/>
              <w:rPr>
                <w:b/>
                <w:sz w:val="22"/>
                <w:szCs w:val="22"/>
              </w:rPr>
            </w:pPr>
            <w:r w:rsidRPr="002A2CB9">
              <w:rPr>
                <w:b/>
                <w:sz w:val="22"/>
                <w:szCs w:val="22"/>
              </w:rPr>
              <w:t>Részszempontok</w:t>
            </w:r>
          </w:p>
        </w:tc>
        <w:tc>
          <w:tcPr>
            <w:tcW w:w="6055" w:type="dxa"/>
            <w:gridSpan w:val="3"/>
            <w:vAlign w:val="center"/>
          </w:tcPr>
          <w:p w:rsidR="00B343E9" w:rsidRPr="002A2CB9" w:rsidRDefault="00B343E9" w:rsidP="00937126">
            <w:pPr>
              <w:spacing w:after="60"/>
              <w:jc w:val="center"/>
              <w:rPr>
                <w:b/>
                <w:sz w:val="22"/>
                <w:szCs w:val="22"/>
              </w:rPr>
            </w:pPr>
            <w:r w:rsidRPr="002A2CB9">
              <w:rPr>
                <w:b/>
                <w:sz w:val="22"/>
                <w:szCs w:val="22"/>
              </w:rPr>
              <w:t>vállalt megajánlás</w:t>
            </w:r>
          </w:p>
        </w:tc>
      </w:tr>
      <w:tr w:rsidR="00B343E9" w:rsidRPr="002A2CB9" w:rsidTr="00937126">
        <w:trPr>
          <w:jc w:val="center"/>
        </w:trPr>
        <w:tc>
          <w:tcPr>
            <w:tcW w:w="529" w:type="dxa"/>
          </w:tcPr>
          <w:p w:rsidR="00B343E9" w:rsidRPr="002A2CB9" w:rsidRDefault="00B343E9" w:rsidP="00937126">
            <w:pPr>
              <w:spacing w:after="60"/>
              <w:jc w:val="both"/>
              <w:rPr>
                <w:sz w:val="22"/>
                <w:szCs w:val="22"/>
              </w:rPr>
            </w:pPr>
            <w:r w:rsidRPr="002A2CB9">
              <w:rPr>
                <w:sz w:val="22"/>
                <w:szCs w:val="22"/>
              </w:rPr>
              <w:t>1.</w:t>
            </w:r>
          </w:p>
        </w:tc>
        <w:tc>
          <w:tcPr>
            <w:tcW w:w="2976" w:type="dxa"/>
          </w:tcPr>
          <w:p w:rsidR="00B343E9" w:rsidRPr="002A2CB9" w:rsidRDefault="00B343E9" w:rsidP="00937126">
            <w:pPr>
              <w:spacing w:after="60"/>
              <w:jc w:val="both"/>
              <w:rPr>
                <w:sz w:val="22"/>
                <w:szCs w:val="22"/>
              </w:rPr>
            </w:pPr>
            <w:r w:rsidRPr="00F049CA">
              <w:t>Ajánlati ár</w:t>
            </w:r>
          </w:p>
        </w:tc>
        <w:tc>
          <w:tcPr>
            <w:tcW w:w="2835" w:type="dxa"/>
          </w:tcPr>
          <w:p w:rsidR="00B343E9" w:rsidRPr="002A2CB9" w:rsidRDefault="00B343E9" w:rsidP="00937126">
            <w:pPr>
              <w:spacing w:after="60"/>
              <w:jc w:val="center"/>
              <w:rPr>
                <w:sz w:val="22"/>
                <w:szCs w:val="22"/>
              </w:rPr>
            </w:pPr>
            <w:r w:rsidRPr="002A2CB9">
              <w:rPr>
                <w:sz w:val="22"/>
                <w:szCs w:val="22"/>
              </w:rPr>
              <w:t>mindösszesen nettó összár</w:t>
            </w:r>
          </w:p>
        </w:tc>
        <w:tc>
          <w:tcPr>
            <w:tcW w:w="1547" w:type="dxa"/>
            <w:shd w:val="clear" w:color="auto" w:fill="D9D9D9"/>
          </w:tcPr>
          <w:p w:rsidR="00B343E9" w:rsidRPr="002A2CB9" w:rsidRDefault="00B343E9" w:rsidP="00937126">
            <w:pPr>
              <w:spacing w:after="60"/>
              <w:jc w:val="center"/>
              <w:rPr>
                <w:sz w:val="22"/>
                <w:szCs w:val="22"/>
              </w:rPr>
            </w:pPr>
          </w:p>
        </w:tc>
        <w:tc>
          <w:tcPr>
            <w:tcW w:w="1673" w:type="dxa"/>
          </w:tcPr>
          <w:p w:rsidR="00B343E9" w:rsidRPr="002A2CB9" w:rsidRDefault="00B343E9" w:rsidP="00937126">
            <w:pPr>
              <w:spacing w:after="60"/>
              <w:rPr>
                <w:sz w:val="22"/>
                <w:szCs w:val="22"/>
              </w:rPr>
            </w:pPr>
            <w:r w:rsidRPr="002A2CB9">
              <w:rPr>
                <w:sz w:val="22"/>
                <w:szCs w:val="22"/>
              </w:rPr>
              <w:t>Ft</w:t>
            </w:r>
          </w:p>
        </w:tc>
      </w:tr>
      <w:tr w:rsidR="00B343E9" w:rsidRPr="002A2CB9" w:rsidTr="00937126">
        <w:trPr>
          <w:jc w:val="center"/>
        </w:trPr>
        <w:tc>
          <w:tcPr>
            <w:tcW w:w="529" w:type="dxa"/>
          </w:tcPr>
          <w:p w:rsidR="00B343E9" w:rsidRPr="002A2CB9" w:rsidRDefault="00B343E9" w:rsidP="00937126">
            <w:pPr>
              <w:spacing w:after="60"/>
              <w:jc w:val="both"/>
              <w:rPr>
                <w:sz w:val="22"/>
                <w:szCs w:val="22"/>
              </w:rPr>
            </w:pPr>
            <w:r w:rsidRPr="002A2CB9">
              <w:rPr>
                <w:sz w:val="22"/>
                <w:szCs w:val="22"/>
              </w:rPr>
              <w:t>2.</w:t>
            </w:r>
          </w:p>
        </w:tc>
        <w:tc>
          <w:tcPr>
            <w:tcW w:w="2976" w:type="dxa"/>
          </w:tcPr>
          <w:p w:rsidR="00B343E9" w:rsidRPr="002A2CB9" w:rsidRDefault="00B343E9" w:rsidP="00937126">
            <w:pPr>
              <w:spacing w:after="60"/>
              <w:jc w:val="both"/>
              <w:rPr>
                <w:sz w:val="22"/>
                <w:szCs w:val="22"/>
              </w:rPr>
            </w:pPr>
            <w:r>
              <w:t>Szállítási határidő</w:t>
            </w:r>
            <w:r w:rsidRPr="00D04190">
              <w:rPr>
                <w:vertAlign w:val="superscript"/>
              </w:rPr>
              <w:t>2</w:t>
            </w:r>
          </w:p>
        </w:tc>
        <w:tc>
          <w:tcPr>
            <w:tcW w:w="2835" w:type="dxa"/>
          </w:tcPr>
          <w:p w:rsidR="00B343E9" w:rsidRPr="002A2CB9" w:rsidRDefault="00B343E9" w:rsidP="00937126">
            <w:pPr>
              <w:spacing w:after="60"/>
              <w:jc w:val="center"/>
              <w:rPr>
                <w:sz w:val="22"/>
                <w:szCs w:val="22"/>
              </w:rPr>
            </w:pPr>
          </w:p>
        </w:tc>
        <w:tc>
          <w:tcPr>
            <w:tcW w:w="1547" w:type="dxa"/>
            <w:shd w:val="clear" w:color="auto" w:fill="D9D9D9"/>
          </w:tcPr>
          <w:p w:rsidR="00B343E9" w:rsidRPr="002A2CB9" w:rsidRDefault="00B343E9" w:rsidP="00937126">
            <w:pPr>
              <w:spacing w:after="60"/>
              <w:jc w:val="center"/>
              <w:rPr>
                <w:sz w:val="22"/>
                <w:szCs w:val="22"/>
              </w:rPr>
            </w:pPr>
          </w:p>
        </w:tc>
        <w:tc>
          <w:tcPr>
            <w:tcW w:w="1673" w:type="dxa"/>
          </w:tcPr>
          <w:p w:rsidR="00B343E9" w:rsidRPr="002A2CB9" w:rsidRDefault="00B343E9" w:rsidP="00937126">
            <w:pPr>
              <w:spacing w:after="60"/>
              <w:rPr>
                <w:sz w:val="22"/>
                <w:szCs w:val="22"/>
              </w:rPr>
            </w:pPr>
            <w:r>
              <w:rPr>
                <w:sz w:val="22"/>
                <w:szCs w:val="22"/>
              </w:rPr>
              <w:t>nap</w:t>
            </w:r>
          </w:p>
        </w:tc>
      </w:tr>
      <w:tr w:rsidR="00B343E9" w:rsidRPr="002A2CB9" w:rsidTr="00937126">
        <w:trPr>
          <w:jc w:val="center"/>
        </w:trPr>
        <w:tc>
          <w:tcPr>
            <w:tcW w:w="529" w:type="dxa"/>
          </w:tcPr>
          <w:p w:rsidR="00B343E9" w:rsidRPr="002A2CB9" w:rsidRDefault="00B343E9" w:rsidP="00937126">
            <w:pPr>
              <w:spacing w:after="60"/>
              <w:jc w:val="both"/>
              <w:rPr>
                <w:sz w:val="22"/>
                <w:szCs w:val="22"/>
              </w:rPr>
            </w:pPr>
            <w:r>
              <w:rPr>
                <w:sz w:val="22"/>
                <w:szCs w:val="22"/>
              </w:rPr>
              <w:t>3.</w:t>
            </w:r>
          </w:p>
        </w:tc>
        <w:tc>
          <w:tcPr>
            <w:tcW w:w="2976" w:type="dxa"/>
          </w:tcPr>
          <w:p w:rsidR="00B343E9" w:rsidRPr="00BD2902" w:rsidRDefault="00B343E9" w:rsidP="00937126">
            <w:pPr>
              <w:widowControl w:val="0"/>
              <w:autoSpaceDE w:val="0"/>
              <w:autoSpaceDN w:val="0"/>
              <w:adjustRightInd w:val="0"/>
              <w:spacing w:after="120"/>
              <w:ind w:left="357" w:hanging="357"/>
              <w:jc w:val="both"/>
              <w:rPr>
                <w:b/>
                <w:bCs/>
              </w:rPr>
            </w:pPr>
            <w:proofErr w:type="gramStart"/>
            <w:r>
              <w:t>Jótállás</w:t>
            </w:r>
            <w:r w:rsidRPr="00F049CA">
              <w:t xml:space="preserve"> vállalás</w:t>
            </w:r>
            <w:proofErr w:type="gramEnd"/>
            <w:r w:rsidRPr="00F049CA">
              <w:t xml:space="preserve"> időszaka</w:t>
            </w:r>
            <w:r w:rsidRPr="00D04190">
              <w:rPr>
                <w:vertAlign w:val="superscript"/>
              </w:rPr>
              <w:t>3</w:t>
            </w:r>
          </w:p>
        </w:tc>
        <w:tc>
          <w:tcPr>
            <w:tcW w:w="2835" w:type="dxa"/>
          </w:tcPr>
          <w:p w:rsidR="00B343E9" w:rsidRDefault="00B343E9" w:rsidP="00937126">
            <w:pPr>
              <w:spacing w:after="60"/>
              <w:jc w:val="center"/>
              <w:rPr>
                <w:sz w:val="22"/>
                <w:szCs w:val="22"/>
              </w:rPr>
            </w:pPr>
            <w:r>
              <w:rPr>
                <w:sz w:val="22"/>
                <w:szCs w:val="22"/>
              </w:rPr>
              <w:t xml:space="preserve">vállalt jótállási idő </w:t>
            </w:r>
          </w:p>
        </w:tc>
        <w:tc>
          <w:tcPr>
            <w:tcW w:w="1547" w:type="dxa"/>
            <w:shd w:val="clear" w:color="auto" w:fill="D9D9D9"/>
          </w:tcPr>
          <w:p w:rsidR="00B343E9" w:rsidRPr="002A2CB9" w:rsidRDefault="00B343E9" w:rsidP="00937126">
            <w:pPr>
              <w:spacing w:after="60"/>
              <w:jc w:val="center"/>
              <w:rPr>
                <w:sz w:val="22"/>
                <w:szCs w:val="22"/>
              </w:rPr>
            </w:pPr>
          </w:p>
        </w:tc>
        <w:tc>
          <w:tcPr>
            <w:tcW w:w="1673" w:type="dxa"/>
          </w:tcPr>
          <w:p w:rsidR="00B343E9" w:rsidRDefault="00B343E9" w:rsidP="00937126">
            <w:pPr>
              <w:spacing w:after="60"/>
              <w:rPr>
                <w:sz w:val="22"/>
                <w:szCs w:val="22"/>
              </w:rPr>
            </w:pPr>
            <w:r>
              <w:rPr>
                <w:sz w:val="22"/>
                <w:szCs w:val="22"/>
              </w:rPr>
              <w:t>hónap</w:t>
            </w:r>
          </w:p>
        </w:tc>
      </w:tr>
    </w:tbl>
    <w:p w:rsidR="00B343E9" w:rsidRDefault="00B343E9" w:rsidP="00B343E9">
      <w:pPr>
        <w:widowControl w:val="0"/>
        <w:autoSpaceDE w:val="0"/>
        <w:autoSpaceDN w:val="0"/>
        <w:adjustRightInd w:val="0"/>
        <w:spacing w:after="120"/>
        <w:ind w:left="357" w:hanging="357"/>
        <w:jc w:val="both"/>
        <w:rPr>
          <w:b/>
          <w:bCs/>
        </w:rPr>
      </w:pPr>
    </w:p>
    <w:p w:rsidR="00B343E9" w:rsidRDefault="00B343E9" w:rsidP="00B343E9">
      <w:pPr>
        <w:widowControl w:val="0"/>
        <w:autoSpaceDE w:val="0"/>
        <w:autoSpaceDN w:val="0"/>
        <w:adjustRightInd w:val="0"/>
        <w:spacing w:after="120"/>
        <w:ind w:left="357" w:hanging="357"/>
        <w:jc w:val="both"/>
        <w:rPr>
          <w:b/>
          <w:bCs/>
        </w:rPr>
      </w:pPr>
      <w:r>
        <w:rPr>
          <w:b/>
          <w:bCs/>
        </w:rPr>
        <w:t>3</w:t>
      </w:r>
      <w:proofErr w:type="gramStart"/>
      <w:r>
        <w:rPr>
          <w:b/>
          <w:bCs/>
        </w:rPr>
        <w:t>.részajánlati</w:t>
      </w:r>
      <w:proofErr w:type="gramEnd"/>
      <w:r>
        <w:rPr>
          <w:b/>
          <w:bCs/>
        </w:rPr>
        <w:t xml:space="preserve"> kör:</w:t>
      </w:r>
    </w:p>
    <w:tbl>
      <w:tblPr>
        <w:tblW w:w="9560" w:type="dxa"/>
        <w:jc w:val="center"/>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2976"/>
        <w:gridCol w:w="2835"/>
        <w:gridCol w:w="1547"/>
        <w:gridCol w:w="1673"/>
      </w:tblGrid>
      <w:tr w:rsidR="00B343E9" w:rsidRPr="002A2CB9" w:rsidTr="00937126">
        <w:trPr>
          <w:jc w:val="center"/>
        </w:trPr>
        <w:tc>
          <w:tcPr>
            <w:tcW w:w="3505" w:type="dxa"/>
            <w:gridSpan w:val="2"/>
          </w:tcPr>
          <w:p w:rsidR="00B343E9" w:rsidRPr="002A2CB9" w:rsidRDefault="00B343E9" w:rsidP="00937126">
            <w:pPr>
              <w:spacing w:after="60"/>
              <w:jc w:val="center"/>
              <w:rPr>
                <w:b/>
                <w:sz w:val="22"/>
                <w:szCs w:val="22"/>
              </w:rPr>
            </w:pPr>
            <w:r w:rsidRPr="002A2CB9">
              <w:rPr>
                <w:b/>
                <w:sz w:val="22"/>
                <w:szCs w:val="22"/>
              </w:rPr>
              <w:t>Részszempontok</w:t>
            </w:r>
          </w:p>
        </w:tc>
        <w:tc>
          <w:tcPr>
            <w:tcW w:w="6055" w:type="dxa"/>
            <w:gridSpan w:val="3"/>
            <w:vAlign w:val="center"/>
          </w:tcPr>
          <w:p w:rsidR="00B343E9" w:rsidRPr="002A2CB9" w:rsidRDefault="00B343E9" w:rsidP="00937126">
            <w:pPr>
              <w:spacing w:after="60"/>
              <w:jc w:val="center"/>
              <w:rPr>
                <w:b/>
                <w:sz w:val="22"/>
                <w:szCs w:val="22"/>
              </w:rPr>
            </w:pPr>
            <w:r w:rsidRPr="002A2CB9">
              <w:rPr>
                <w:b/>
                <w:sz w:val="22"/>
                <w:szCs w:val="22"/>
              </w:rPr>
              <w:t>vállalt megajánlás</w:t>
            </w:r>
          </w:p>
        </w:tc>
      </w:tr>
      <w:tr w:rsidR="00B343E9" w:rsidRPr="002A2CB9" w:rsidTr="00937126">
        <w:trPr>
          <w:jc w:val="center"/>
        </w:trPr>
        <w:tc>
          <w:tcPr>
            <w:tcW w:w="529" w:type="dxa"/>
          </w:tcPr>
          <w:p w:rsidR="00B343E9" w:rsidRPr="002A2CB9" w:rsidRDefault="00B343E9" w:rsidP="00937126">
            <w:pPr>
              <w:spacing w:after="60"/>
              <w:jc w:val="both"/>
              <w:rPr>
                <w:sz w:val="22"/>
                <w:szCs w:val="22"/>
              </w:rPr>
            </w:pPr>
            <w:r w:rsidRPr="002A2CB9">
              <w:rPr>
                <w:sz w:val="22"/>
                <w:szCs w:val="22"/>
              </w:rPr>
              <w:t>1.</w:t>
            </w:r>
          </w:p>
        </w:tc>
        <w:tc>
          <w:tcPr>
            <w:tcW w:w="2976" w:type="dxa"/>
          </w:tcPr>
          <w:p w:rsidR="00B343E9" w:rsidRPr="002A2CB9" w:rsidRDefault="00B343E9" w:rsidP="00937126">
            <w:pPr>
              <w:spacing w:after="60"/>
              <w:jc w:val="both"/>
              <w:rPr>
                <w:sz w:val="22"/>
                <w:szCs w:val="22"/>
              </w:rPr>
            </w:pPr>
            <w:r w:rsidRPr="00F049CA">
              <w:t>Ajánlati ár</w:t>
            </w:r>
          </w:p>
        </w:tc>
        <w:tc>
          <w:tcPr>
            <w:tcW w:w="2835" w:type="dxa"/>
          </w:tcPr>
          <w:p w:rsidR="00B343E9" w:rsidRPr="002A2CB9" w:rsidRDefault="00B343E9" w:rsidP="00937126">
            <w:pPr>
              <w:spacing w:after="60"/>
              <w:jc w:val="center"/>
              <w:rPr>
                <w:sz w:val="22"/>
                <w:szCs w:val="22"/>
              </w:rPr>
            </w:pPr>
            <w:r w:rsidRPr="002A2CB9">
              <w:rPr>
                <w:sz w:val="22"/>
                <w:szCs w:val="22"/>
              </w:rPr>
              <w:t>mindösszesen nettó összár</w:t>
            </w:r>
          </w:p>
        </w:tc>
        <w:tc>
          <w:tcPr>
            <w:tcW w:w="1547" w:type="dxa"/>
            <w:shd w:val="clear" w:color="auto" w:fill="D9D9D9"/>
          </w:tcPr>
          <w:p w:rsidR="00B343E9" w:rsidRPr="002A2CB9" w:rsidRDefault="00B343E9" w:rsidP="00937126">
            <w:pPr>
              <w:spacing w:after="60"/>
              <w:jc w:val="center"/>
              <w:rPr>
                <w:sz w:val="22"/>
                <w:szCs w:val="22"/>
              </w:rPr>
            </w:pPr>
          </w:p>
        </w:tc>
        <w:tc>
          <w:tcPr>
            <w:tcW w:w="1673" w:type="dxa"/>
          </w:tcPr>
          <w:p w:rsidR="00B343E9" w:rsidRPr="002A2CB9" w:rsidRDefault="00B343E9" w:rsidP="00937126">
            <w:pPr>
              <w:spacing w:after="60"/>
              <w:rPr>
                <w:sz w:val="22"/>
                <w:szCs w:val="22"/>
              </w:rPr>
            </w:pPr>
            <w:r w:rsidRPr="002A2CB9">
              <w:rPr>
                <w:sz w:val="22"/>
                <w:szCs w:val="22"/>
              </w:rPr>
              <w:t>Ft</w:t>
            </w:r>
          </w:p>
        </w:tc>
      </w:tr>
      <w:tr w:rsidR="00B343E9" w:rsidRPr="002A2CB9" w:rsidTr="00937126">
        <w:trPr>
          <w:jc w:val="center"/>
        </w:trPr>
        <w:tc>
          <w:tcPr>
            <w:tcW w:w="529" w:type="dxa"/>
          </w:tcPr>
          <w:p w:rsidR="00B343E9" w:rsidRPr="002A2CB9" w:rsidRDefault="00B343E9" w:rsidP="00937126">
            <w:pPr>
              <w:spacing w:after="60"/>
              <w:jc w:val="both"/>
              <w:rPr>
                <w:sz w:val="22"/>
                <w:szCs w:val="22"/>
              </w:rPr>
            </w:pPr>
            <w:r w:rsidRPr="002A2CB9">
              <w:rPr>
                <w:sz w:val="22"/>
                <w:szCs w:val="22"/>
              </w:rPr>
              <w:t>2.</w:t>
            </w:r>
          </w:p>
        </w:tc>
        <w:tc>
          <w:tcPr>
            <w:tcW w:w="2976" w:type="dxa"/>
          </w:tcPr>
          <w:p w:rsidR="00B343E9" w:rsidRPr="002A2CB9" w:rsidRDefault="00B343E9" w:rsidP="00937126">
            <w:pPr>
              <w:spacing w:after="60"/>
              <w:jc w:val="both"/>
              <w:rPr>
                <w:sz w:val="22"/>
                <w:szCs w:val="22"/>
              </w:rPr>
            </w:pPr>
            <w:r>
              <w:t>Szállítási határidő</w:t>
            </w:r>
            <w:r w:rsidRPr="00D04190">
              <w:rPr>
                <w:vertAlign w:val="superscript"/>
              </w:rPr>
              <w:t>2</w:t>
            </w:r>
          </w:p>
        </w:tc>
        <w:tc>
          <w:tcPr>
            <w:tcW w:w="2835" w:type="dxa"/>
          </w:tcPr>
          <w:p w:rsidR="00B343E9" w:rsidRPr="002A2CB9" w:rsidRDefault="00B343E9" w:rsidP="00937126">
            <w:pPr>
              <w:spacing w:after="60"/>
              <w:jc w:val="center"/>
              <w:rPr>
                <w:sz w:val="22"/>
                <w:szCs w:val="22"/>
              </w:rPr>
            </w:pPr>
          </w:p>
        </w:tc>
        <w:tc>
          <w:tcPr>
            <w:tcW w:w="1547" w:type="dxa"/>
            <w:shd w:val="clear" w:color="auto" w:fill="D9D9D9"/>
          </w:tcPr>
          <w:p w:rsidR="00B343E9" w:rsidRPr="002A2CB9" w:rsidRDefault="00B343E9" w:rsidP="00937126">
            <w:pPr>
              <w:spacing w:after="60"/>
              <w:jc w:val="center"/>
              <w:rPr>
                <w:sz w:val="22"/>
                <w:szCs w:val="22"/>
              </w:rPr>
            </w:pPr>
          </w:p>
        </w:tc>
        <w:tc>
          <w:tcPr>
            <w:tcW w:w="1673" w:type="dxa"/>
          </w:tcPr>
          <w:p w:rsidR="00B343E9" w:rsidRPr="002A2CB9" w:rsidRDefault="00B343E9" w:rsidP="00937126">
            <w:pPr>
              <w:spacing w:after="60"/>
              <w:rPr>
                <w:sz w:val="22"/>
                <w:szCs w:val="22"/>
              </w:rPr>
            </w:pPr>
            <w:r>
              <w:rPr>
                <w:sz w:val="22"/>
                <w:szCs w:val="22"/>
              </w:rPr>
              <w:t>nap</w:t>
            </w:r>
          </w:p>
        </w:tc>
      </w:tr>
      <w:tr w:rsidR="00B343E9" w:rsidRPr="002A2CB9" w:rsidTr="00937126">
        <w:trPr>
          <w:jc w:val="center"/>
        </w:trPr>
        <w:tc>
          <w:tcPr>
            <w:tcW w:w="529" w:type="dxa"/>
          </w:tcPr>
          <w:p w:rsidR="00B343E9" w:rsidRPr="002A2CB9" w:rsidRDefault="00B343E9" w:rsidP="00937126">
            <w:pPr>
              <w:spacing w:after="60"/>
              <w:jc w:val="both"/>
              <w:rPr>
                <w:sz w:val="22"/>
                <w:szCs w:val="22"/>
              </w:rPr>
            </w:pPr>
            <w:r>
              <w:rPr>
                <w:sz w:val="22"/>
                <w:szCs w:val="22"/>
              </w:rPr>
              <w:t>3.</w:t>
            </w:r>
          </w:p>
        </w:tc>
        <w:tc>
          <w:tcPr>
            <w:tcW w:w="2976" w:type="dxa"/>
          </w:tcPr>
          <w:p w:rsidR="00B343E9" w:rsidRPr="00BD2902" w:rsidRDefault="00B343E9" w:rsidP="00937126">
            <w:pPr>
              <w:widowControl w:val="0"/>
              <w:autoSpaceDE w:val="0"/>
              <w:autoSpaceDN w:val="0"/>
              <w:adjustRightInd w:val="0"/>
              <w:spacing w:after="120"/>
              <w:ind w:left="357" w:hanging="357"/>
              <w:jc w:val="both"/>
              <w:rPr>
                <w:b/>
                <w:bCs/>
              </w:rPr>
            </w:pPr>
            <w:proofErr w:type="gramStart"/>
            <w:r>
              <w:t>Jótállás</w:t>
            </w:r>
            <w:r w:rsidRPr="00F049CA">
              <w:t xml:space="preserve"> vállalás</w:t>
            </w:r>
            <w:proofErr w:type="gramEnd"/>
            <w:r w:rsidRPr="00F049CA">
              <w:t xml:space="preserve"> időszaka</w:t>
            </w:r>
            <w:r w:rsidRPr="00D04190">
              <w:rPr>
                <w:vertAlign w:val="superscript"/>
              </w:rPr>
              <w:t>3</w:t>
            </w:r>
          </w:p>
        </w:tc>
        <w:tc>
          <w:tcPr>
            <w:tcW w:w="2835" w:type="dxa"/>
          </w:tcPr>
          <w:p w:rsidR="00B343E9" w:rsidRDefault="00B343E9" w:rsidP="00937126">
            <w:pPr>
              <w:spacing w:after="60"/>
              <w:jc w:val="center"/>
              <w:rPr>
                <w:sz w:val="22"/>
                <w:szCs w:val="22"/>
              </w:rPr>
            </w:pPr>
            <w:r>
              <w:rPr>
                <w:sz w:val="22"/>
                <w:szCs w:val="22"/>
              </w:rPr>
              <w:t xml:space="preserve">vállalt jótállási idő </w:t>
            </w:r>
          </w:p>
        </w:tc>
        <w:tc>
          <w:tcPr>
            <w:tcW w:w="1547" w:type="dxa"/>
            <w:shd w:val="clear" w:color="auto" w:fill="D9D9D9"/>
          </w:tcPr>
          <w:p w:rsidR="00B343E9" w:rsidRPr="002A2CB9" w:rsidRDefault="00B343E9" w:rsidP="00937126">
            <w:pPr>
              <w:spacing w:after="60"/>
              <w:jc w:val="center"/>
              <w:rPr>
                <w:sz w:val="22"/>
                <w:szCs w:val="22"/>
              </w:rPr>
            </w:pPr>
          </w:p>
        </w:tc>
        <w:tc>
          <w:tcPr>
            <w:tcW w:w="1673" w:type="dxa"/>
          </w:tcPr>
          <w:p w:rsidR="00B343E9" w:rsidRDefault="00B343E9" w:rsidP="00937126">
            <w:pPr>
              <w:spacing w:after="60"/>
              <w:rPr>
                <w:sz w:val="22"/>
                <w:szCs w:val="22"/>
              </w:rPr>
            </w:pPr>
            <w:r>
              <w:rPr>
                <w:sz w:val="22"/>
                <w:szCs w:val="22"/>
              </w:rPr>
              <w:t>hónap</w:t>
            </w:r>
          </w:p>
        </w:tc>
      </w:tr>
    </w:tbl>
    <w:p w:rsidR="00B343E9" w:rsidRDefault="00B343E9" w:rsidP="00B343E9">
      <w:pPr>
        <w:widowControl w:val="0"/>
        <w:autoSpaceDE w:val="0"/>
        <w:autoSpaceDN w:val="0"/>
        <w:adjustRightInd w:val="0"/>
        <w:jc w:val="both"/>
        <w:rPr>
          <w:b/>
          <w:bCs/>
          <w:color w:val="000000"/>
          <w:sz w:val="28"/>
          <w:szCs w:val="28"/>
        </w:rPr>
      </w:pPr>
      <w:r>
        <w:t>Az ára</w:t>
      </w:r>
      <w:r w:rsidRPr="00846A2F">
        <w:t>t úgy kell</w:t>
      </w:r>
      <w:r>
        <w:t xml:space="preserve"> megadni, hogy az tartalmazzon</w:t>
      </w:r>
      <w:r w:rsidRPr="00846A2F">
        <w:t xml:space="preserve"> minden járulékos költséget, függetlenül azok f</w:t>
      </w:r>
      <w:r>
        <w:t>ormájától és forrásától, többek között vám</w:t>
      </w:r>
      <w:r w:rsidRPr="00846A2F">
        <w:t>, k</w:t>
      </w:r>
      <w:r>
        <w:t>ülönböző díjak, illetékek és szállítási költségek</w:t>
      </w:r>
      <w:r w:rsidRPr="00846A2F">
        <w:t>.</w:t>
      </w:r>
    </w:p>
    <w:p w:rsidR="00B343E9" w:rsidRDefault="00B343E9" w:rsidP="00B343E9">
      <w:pPr>
        <w:ind w:left="567"/>
      </w:pPr>
    </w:p>
    <w:p w:rsidR="00B343E9" w:rsidRDefault="00B343E9" w:rsidP="00B343E9">
      <w:pPr>
        <w:ind w:left="567"/>
      </w:pPr>
      <w:bookmarkStart w:id="0" w:name="_GoBack"/>
      <w:bookmarkEnd w:id="0"/>
      <w:r w:rsidRPr="007243E0">
        <w:t>Dátum</w:t>
      </w:r>
    </w:p>
    <w:p w:rsidR="00B343E9" w:rsidRDefault="00B343E9" w:rsidP="00B343E9">
      <w:pPr>
        <w:ind w:left="567" w:firstLine="5103"/>
      </w:pPr>
    </w:p>
    <w:p w:rsidR="00B343E9" w:rsidRDefault="00B343E9" w:rsidP="00B343E9">
      <w:pPr>
        <w:ind w:left="567" w:firstLine="5103"/>
      </w:pPr>
      <w:r w:rsidRPr="00347E87">
        <w:t>Cégszerű aláírás</w:t>
      </w:r>
    </w:p>
    <w:p w:rsidR="00EA2B0F" w:rsidRDefault="00EA2B0F" w:rsidP="00B343E9"/>
    <w:sectPr w:rsidR="00EA2B0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3E9" w:rsidRDefault="00B343E9" w:rsidP="00B343E9">
      <w:r>
        <w:separator/>
      </w:r>
    </w:p>
  </w:endnote>
  <w:endnote w:type="continuationSeparator" w:id="0">
    <w:p w:rsidR="00B343E9" w:rsidRDefault="00B343E9" w:rsidP="00B3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94197"/>
      <w:docPartObj>
        <w:docPartGallery w:val="Page Numbers (Bottom of Page)"/>
        <w:docPartUnique/>
      </w:docPartObj>
    </w:sdtPr>
    <w:sdtContent>
      <w:p w:rsidR="00B343E9" w:rsidRDefault="00B343E9">
        <w:pPr>
          <w:pStyle w:val="llb"/>
          <w:jc w:val="center"/>
        </w:pPr>
        <w:r>
          <w:fldChar w:fldCharType="begin"/>
        </w:r>
        <w:r>
          <w:instrText>PAGE   \* MERGEFORMAT</w:instrText>
        </w:r>
        <w:r>
          <w:fldChar w:fldCharType="separate"/>
        </w:r>
        <w:r>
          <w:rPr>
            <w:noProof/>
          </w:rPr>
          <w:t>1</w:t>
        </w:r>
        <w:r>
          <w:fldChar w:fldCharType="end"/>
        </w:r>
      </w:p>
    </w:sdtContent>
  </w:sdt>
  <w:p w:rsidR="00B343E9" w:rsidRDefault="00B343E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3E9" w:rsidRDefault="00B343E9" w:rsidP="00B343E9">
      <w:r>
        <w:separator/>
      </w:r>
    </w:p>
  </w:footnote>
  <w:footnote w:type="continuationSeparator" w:id="0">
    <w:p w:rsidR="00B343E9" w:rsidRDefault="00B343E9" w:rsidP="00B343E9">
      <w:r>
        <w:continuationSeparator/>
      </w:r>
    </w:p>
  </w:footnote>
  <w:footnote w:id="1">
    <w:p w:rsidR="00B343E9" w:rsidRDefault="00B343E9" w:rsidP="00B343E9">
      <w:pPr>
        <w:pStyle w:val="Lbjegyzetszveg"/>
        <w:jc w:val="both"/>
      </w:pPr>
      <w:r>
        <w:rPr>
          <w:rStyle w:val="Lbjegyzet-hivatkozs"/>
        </w:rPr>
        <w:footnoteRef/>
      </w:r>
      <w:r>
        <w:t xml:space="preserve"> Ajánlatkérő a Szállítási határidő (nap) értékelési részszempont tekintetében a legkedvezőbb 10 naptári nap és a legkedvezőtlenebb érték 45 naptári napban határozta meg.</w:t>
      </w:r>
    </w:p>
  </w:footnote>
  <w:footnote w:id="2">
    <w:p w:rsidR="00B343E9" w:rsidRDefault="00B343E9" w:rsidP="00B343E9">
      <w:pPr>
        <w:pStyle w:val="Lbjegyzetszveg"/>
      </w:pPr>
      <w:r>
        <w:rPr>
          <w:rStyle w:val="Lbjegyzet-hivatkozs"/>
        </w:rPr>
        <w:footnoteRef/>
      </w:r>
      <w:r>
        <w:t xml:space="preserve"> Ajánlatkérő a Jótállási időtartam (hónap) értékelési részszempont tekintetében a legalacsonyabb 18 hónap, a legmagasabb 60 hónap értéket határozta meg.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048F"/>
    <w:multiLevelType w:val="hybridMultilevel"/>
    <w:tmpl w:val="D6C248DE"/>
    <w:lvl w:ilvl="0" w:tplc="CC706F90">
      <w:start w:val="3"/>
      <w:numFmt w:val="decimal"/>
      <w:lvlText w:val="%1."/>
      <w:lvlJc w:val="left"/>
      <w:pPr>
        <w:tabs>
          <w:tab w:val="num" w:pos="357"/>
        </w:tabs>
        <w:ind w:left="720" w:hanging="720"/>
      </w:pPr>
      <w:rPr>
        <w:rFonts w:cs="Times New Roman"/>
        <w:b w:val="0"/>
        <w:bCs w:val="0"/>
        <w:sz w:val="24"/>
        <w:szCs w:val="24"/>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E9"/>
    <w:rsid w:val="00B343E9"/>
    <w:rsid w:val="00EA2B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343E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B343E9"/>
    <w:pPr>
      <w:tabs>
        <w:tab w:val="center" w:pos="4536"/>
        <w:tab w:val="right" w:pos="9072"/>
      </w:tabs>
    </w:pPr>
  </w:style>
  <w:style w:type="character" w:customStyle="1" w:styleId="llbChar">
    <w:name w:val="Élőláb Char"/>
    <w:basedOn w:val="Bekezdsalapbettpusa"/>
    <w:link w:val="llb"/>
    <w:uiPriority w:val="99"/>
    <w:rsid w:val="00B343E9"/>
    <w:rPr>
      <w:rFonts w:ascii="Times New Roman" w:eastAsia="Times New Roman" w:hAnsi="Times New Roman" w:cs="Times New Roman"/>
      <w:sz w:val="24"/>
      <w:szCs w:val="24"/>
      <w:lang w:eastAsia="hu-HU"/>
    </w:rPr>
  </w:style>
  <w:style w:type="paragraph" w:styleId="Listaszerbekezds">
    <w:name w:val="List Paragraph"/>
    <w:aliases w:val="lista_2,Welt L"/>
    <w:basedOn w:val="Norml"/>
    <w:link w:val="ListaszerbekezdsChar"/>
    <w:uiPriority w:val="34"/>
    <w:qFormat/>
    <w:rsid w:val="00B343E9"/>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Char"/>
    <w:basedOn w:val="Norml"/>
    <w:link w:val="LbjegyzetszvegChar"/>
    <w:rsid w:val="00B343E9"/>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B343E9"/>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B343E9"/>
    <w:rPr>
      <w:rFonts w:cs="Times New Roman"/>
      <w:vertAlign w:val="superscript"/>
    </w:rPr>
  </w:style>
  <w:style w:type="character" w:customStyle="1" w:styleId="ListaszerbekezdsChar">
    <w:name w:val="Listaszerű bekezdés Char"/>
    <w:aliases w:val="lista_2 Char,Welt L Char"/>
    <w:link w:val="Listaszerbekezds"/>
    <w:uiPriority w:val="34"/>
    <w:locked/>
    <w:rsid w:val="00B343E9"/>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343E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B343E9"/>
    <w:pPr>
      <w:tabs>
        <w:tab w:val="center" w:pos="4536"/>
        <w:tab w:val="right" w:pos="9072"/>
      </w:tabs>
    </w:pPr>
  </w:style>
  <w:style w:type="character" w:customStyle="1" w:styleId="llbChar">
    <w:name w:val="Élőláb Char"/>
    <w:basedOn w:val="Bekezdsalapbettpusa"/>
    <w:link w:val="llb"/>
    <w:uiPriority w:val="99"/>
    <w:rsid w:val="00B343E9"/>
    <w:rPr>
      <w:rFonts w:ascii="Times New Roman" w:eastAsia="Times New Roman" w:hAnsi="Times New Roman" w:cs="Times New Roman"/>
      <w:sz w:val="24"/>
      <w:szCs w:val="24"/>
      <w:lang w:eastAsia="hu-HU"/>
    </w:rPr>
  </w:style>
  <w:style w:type="paragraph" w:styleId="Listaszerbekezds">
    <w:name w:val="List Paragraph"/>
    <w:aliases w:val="lista_2,Welt L"/>
    <w:basedOn w:val="Norml"/>
    <w:link w:val="ListaszerbekezdsChar"/>
    <w:uiPriority w:val="34"/>
    <w:qFormat/>
    <w:rsid w:val="00B343E9"/>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Char"/>
    <w:basedOn w:val="Norml"/>
    <w:link w:val="LbjegyzetszvegChar"/>
    <w:rsid w:val="00B343E9"/>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B343E9"/>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B343E9"/>
    <w:rPr>
      <w:rFonts w:cs="Times New Roman"/>
      <w:vertAlign w:val="superscript"/>
    </w:rPr>
  </w:style>
  <w:style w:type="character" w:customStyle="1" w:styleId="ListaszerbekezdsChar">
    <w:name w:val="Listaszerű bekezdés Char"/>
    <w:aliases w:val="lista_2 Char,Welt L Char"/>
    <w:link w:val="Listaszerbekezds"/>
    <w:uiPriority w:val="34"/>
    <w:locked/>
    <w:rsid w:val="00B343E9"/>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1110</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Vámosiné Küzmös Anita</dc:creator>
  <cp:lastModifiedBy>Vámosiné Küzmös Anita</cp:lastModifiedBy>
  <cp:revision>1</cp:revision>
  <dcterms:created xsi:type="dcterms:W3CDTF">2017-08-04T09:42:00Z</dcterms:created>
  <dcterms:modified xsi:type="dcterms:W3CDTF">2017-08-04T09:43:00Z</dcterms:modified>
</cp:coreProperties>
</file>